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ACFDA" w14:textId="33356089" w:rsidR="0006265F" w:rsidRDefault="0006265F" w:rsidP="0006265F">
      <w:pPr>
        <w:pStyle w:val="Heading1a"/>
        <w:keepNext w:val="0"/>
        <w:keepLines w:val="0"/>
        <w:tabs>
          <w:tab w:val="clear" w:pos="-720"/>
        </w:tabs>
        <w:suppressAutoHyphens w:val="0"/>
        <w:jc w:val="left"/>
        <w:rPr>
          <w:bCs/>
          <w:smallCaps w:val="0"/>
        </w:rPr>
      </w:pPr>
      <w:bookmarkStart w:id="0" w:name="_Toc47607316"/>
      <w:r>
        <w:rPr>
          <w:bCs/>
          <w:smallCaps w:val="0"/>
          <w:noProof/>
          <w:lang w:val="en-JM" w:eastAsia="en-JM"/>
        </w:rPr>
        <w:drawing>
          <wp:inline distT="0" distB="0" distL="0" distR="0" wp14:anchorId="507163EB" wp14:editId="29132030">
            <wp:extent cx="2243455" cy="835025"/>
            <wp:effectExtent l="0" t="0" r="444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43455" cy="835025"/>
                    </a:xfrm>
                    <a:prstGeom prst="rect">
                      <a:avLst/>
                    </a:prstGeom>
                    <a:noFill/>
                  </pic:spPr>
                </pic:pic>
              </a:graphicData>
            </a:graphic>
          </wp:inline>
        </w:drawing>
      </w:r>
      <w:r>
        <w:rPr>
          <w:bCs/>
          <w:smallCaps w:val="0"/>
        </w:rPr>
        <w:t xml:space="preserve">                                                </w:t>
      </w:r>
      <w:r>
        <w:rPr>
          <w:bCs/>
          <w:smallCaps w:val="0"/>
          <w:noProof/>
          <w:lang w:val="en-JM" w:eastAsia="en-JM"/>
        </w:rPr>
        <w:drawing>
          <wp:inline distT="0" distB="0" distL="0" distR="0" wp14:anchorId="31CBAB01" wp14:editId="1192BBFB">
            <wp:extent cx="701040" cy="792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1040" cy="792480"/>
                    </a:xfrm>
                    <a:prstGeom prst="rect">
                      <a:avLst/>
                    </a:prstGeom>
                    <a:noFill/>
                  </pic:spPr>
                </pic:pic>
              </a:graphicData>
            </a:graphic>
          </wp:inline>
        </w:drawing>
      </w:r>
      <w:r>
        <w:rPr>
          <w:bCs/>
          <w:smallCaps w:val="0"/>
        </w:rPr>
        <w:t xml:space="preserve">                                             </w:t>
      </w:r>
    </w:p>
    <w:p w14:paraId="02A4B125" w14:textId="77777777" w:rsidR="0006265F" w:rsidRDefault="0006265F" w:rsidP="0006265F">
      <w:pPr>
        <w:pStyle w:val="Heading1a"/>
        <w:keepNext w:val="0"/>
        <w:keepLines w:val="0"/>
        <w:tabs>
          <w:tab w:val="clear" w:pos="-720"/>
        </w:tabs>
        <w:suppressAutoHyphens w:val="0"/>
        <w:rPr>
          <w:bCs/>
          <w:smallCaps w:val="0"/>
          <w:sz w:val="22"/>
          <w:szCs w:val="22"/>
        </w:rPr>
      </w:pPr>
    </w:p>
    <w:p w14:paraId="032C8ED8" w14:textId="77777777" w:rsidR="0006265F" w:rsidRDefault="0006265F" w:rsidP="0006265F">
      <w:pPr>
        <w:pStyle w:val="Heading1a"/>
        <w:keepNext w:val="0"/>
        <w:keepLines w:val="0"/>
        <w:tabs>
          <w:tab w:val="clear" w:pos="-720"/>
        </w:tabs>
        <w:suppressAutoHyphens w:val="0"/>
        <w:rPr>
          <w:bCs/>
          <w:smallCaps w:val="0"/>
          <w:sz w:val="22"/>
          <w:szCs w:val="22"/>
        </w:rPr>
      </w:pPr>
    </w:p>
    <w:p w14:paraId="5F70A300" w14:textId="77777777" w:rsidR="0006265F" w:rsidRPr="00724B9B" w:rsidRDefault="0006265F" w:rsidP="0006265F">
      <w:pPr>
        <w:spacing w:after="160" w:line="259" w:lineRule="auto"/>
        <w:jc w:val="center"/>
        <w:rPr>
          <w:rFonts w:asciiTheme="majorHAnsi" w:eastAsia="Calibri" w:hAnsiTheme="majorHAnsi"/>
          <w:b/>
          <w:sz w:val="32"/>
          <w:szCs w:val="32"/>
        </w:rPr>
      </w:pPr>
      <w:r w:rsidRPr="00724B9B">
        <w:rPr>
          <w:rFonts w:asciiTheme="majorHAnsi" w:eastAsia="Calibri" w:hAnsiTheme="majorHAnsi"/>
          <w:b/>
          <w:sz w:val="32"/>
          <w:szCs w:val="32"/>
        </w:rPr>
        <w:t>THE MINISTRY OF HEALTH AND WELLNESS</w:t>
      </w:r>
    </w:p>
    <w:p w14:paraId="7F2A201E" w14:textId="77777777" w:rsidR="0006265F" w:rsidRPr="00724B9B" w:rsidRDefault="0006265F" w:rsidP="0006265F">
      <w:pPr>
        <w:spacing w:after="160" w:line="259" w:lineRule="auto"/>
        <w:jc w:val="center"/>
        <w:rPr>
          <w:rFonts w:asciiTheme="majorHAnsi" w:eastAsia="Calibri" w:hAnsiTheme="majorHAnsi"/>
          <w:b/>
          <w:szCs w:val="22"/>
        </w:rPr>
      </w:pPr>
      <w:r w:rsidRPr="00724B9B">
        <w:rPr>
          <w:rFonts w:asciiTheme="majorHAnsi" w:eastAsia="Calibri" w:hAnsiTheme="majorHAnsi"/>
          <w:b/>
          <w:szCs w:val="22"/>
        </w:rPr>
        <w:t>REQUEST FOR EXPRESSIONS OF INTEREST (Consulting Firm)</w:t>
      </w:r>
    </w:p>
    <w:p w14:paraId="0E1F1164" w14:textId="77777777" w:rsidR="0006265F" w:rsidRDefault="0006265F" w:rsidP="0006265F">
      <w:pPr>
        <w:autoSpaceDE w:val="0"/>
        <w:autoSpaceDN w:val="0"/>
        <w:adjustRightInd w:val="0"/>
        <w:spacing w:before="60" w:after="60"/>
        <w:jc w:val="center"/>
        <w:rPr>
          <w:rFonts w:asciiTheme="majorHAnsi" w:eastAsia="Arial" w:hAnsiTheme="majorHAnsi"/>
          <w:b/>
          <w:bCs/>
          <w:caps/>
          <w:sz w:val="24"/>
          <w:szCs w:val="24"/>
        </w:rPr>
      </w:pPr>
      <w:r w:rsidRPr="00434792">
        <w:rPr>
          <w:rFonts w:asciiTheme="majorHAnsi" w:eastAsia="Arial" w:hAnsiTheme="majorHAnsi"/>
          <w:b/>
          <w:bCs/>
          <w:caps/>
          <w:sz w:val="24"/>
          <w:szCs w:val="24"/>
        </w:rPr>
        <w:t>PROJECT IMPACT ASSESSMENT</w:t>
      </w:r>
    </w:p>
    <w:p w14:paraId="58EAF1C8" w14:textId="77777777" w:rsidR="0006265F" w:rsidRDefault="0006265F" w:rsidP="0006265F">
      <w:pPr>
        <w:autoSpaceDE w:val="0"/>
        <w:autoSpaceDN w:val="0"/>
        <w:adjustRightInd w:val="0"/>
        <w:spacing w:before="60" w:after="60"/>
        <w:jc w:val="center"/>
        <w:rPr>
          <w:rFonts w:asciiTheme="majorHAnsi" w:hAnsiTheme="majorHAnsi" w:cstheme="majorHAnsi"/>
          <w:b/>
          <w:bCs/>
          <w:szCs w:val="22"/>
        </w:rPr>
      </w:pPr>
    </w:p>
    <w:p w14:paraId="484A784C" w14:textId="77777777" w:rsidR="0006265F" w:rsidRPr="00724B9B" w:rsidRDefault="0006265F" w:rsidP="0006265F">
      <w:pPr>
        <w:autoSpaceDE w:val="0"/>
        <w:autoSpaceDN w:val="0"/>
        <w:adjustRightInd w:val="0"/>
        <w:spacing w:before="60" w:after="60"/>
        <w:rPr>
          <w:rFonts w:asciiTheme="majorHAnsi" w:hAnsiTheme="majorHAnsi" w:cstheme="majorHAnsi"/>
          <w:szCs w:val="22"/>
        </w:rPr>
      </w:pPr>
      <w:r w:rsidRPr="00724B9B">
        <w:rPr>
          <w:rFonts w:asciiTheme="majorHAnsi" w:hAnsiTheme="majorHAnsi" w:cstheme="majorHAnsi"/>
          <w:b/>
          <w:bCs/>
          <w:szCs w:val="22"/>
        </w:rPr>
        <w:t>Institution:</w:t>
      </w:r>
      <w:r w:rsidRPr="00724B9B">
        <w:rPr>
          <w:rFonts w:asciiTheme="majorHAnsi" w:hAnsiTheme="majorHAnsi" w:cstheme="majorHAnsi"/>
          <w:szCs w:val="22"/>
        </w:rPr>
        <w:t xml:space="preserve"> </w:t>
      </w:r>
      <w:r w:rsidRPr="00724B9B">
        <w:rPr>
          <w:rFonts w:asciiTheme="majorHAnsi" w:hAnsiTheme="majorHAnsi" w:cstheme="majorHAnsi"/>
          <w:iCs/>
          <w:szCs w:val="22"/>
        </w:rPr>
        <w:t>Ministry of Health</w:t>
      </w:r>
      <w:r>
        <w:rPr>
          <w:rFonts w:asciiTheme="majorHAnsi" w:hAnsiTheme="majorHAnsi" w:cstheme="majorHAnsi"/>
          <w:iCs/>
          <w:szCs w:val="22"/>
        </w:rPr>
        <w:t xml:space="preserve"> and Wellness</w:t>
      </w:r>
    </w:p>
    <w:p w14:paraId="6BF5D200" w14:textId="77777777" w:rsidR="0006265F" w:rsidRPr="00724B9B" w:rsidRDefault="0006265F" w:rsidP="0006265F">
      <w:pPr>
        <w:autoSpaceDE w:val="0"/>
        <w:autoSpaceDN w:val="0"/>
        <w:adjustRightInd w:val="0"/>
        <w:spacing w:before="60" w:after="60"/>
        <w:rPr>
          <w:rFonts w:asciiTheme="majorHAnsi" w:hAnsiTheme="majorHAnsi" w:cstheme="majorHAnsi"/>
          <w:szCs w:val="22"/>
        </w:rPr>
      </w:pPr>
      <w:r w:rsidRPr="00724B9B">
        <w:rPr>
          <w:rFonts w:asciiTheme="majorHAnsi" w:hAnsiTheme="majorHAnsi" w:cstheme="majorHAnsi"/>
          <w:b/>
          <w:bCs/>
          <w:szCs w:val="22"/>
        </w:rPr>
        <w:t>Country:</w:t>
      </w:r>
      <w:r w:rsidRPr="00724B9B">
        <w:rPr>
          <w:rFonts w:asciiTheme="majorHAnsi" w:hAnsiTheme="majorHAnsi" w:cstheme="majorHAnsi"/>
          <w:i/>
          <w:szCs w:val="22"/>
        </w:rPr>
        <w:t xml:space="preserve"> </w:t>
      </w:r>
      <w:r w:rsidRPr="00724B9B">
        <w:rPr>
          <w:rFonts w:asciiTheme="majorHAnsi" w:hAnsiTheme="majorHAnsi" w:cstheme="majorHAnsi"/>
          <w:iCs/>
          <w:szCs w:val="22"/>
        </w:rPr>
        <w:t>Jamaica</w:t>
      </w:r>
    </w:p>
    <w:p w14:paraId="50863466" w14:textId="77777777" w:rsidR="0006265F" w:rsidRPr="00724B9B" w:rsidRDefault="0006265F" w:rsidP="0006265F">
      <w:pPr>
        <w:autoSpaceDE w:val="0"/>
        <w:autoSpaceDN w:val="0"/>
        <w:adjustRightInd w:val="0"/>
        <w:spacing w:before="60" w:after="60"/>
        <w:rPr>
          <w:rFonts w:asciiTheme="majorHAnsi" w:hAnsiTheme="majorHAnsi" w:cstheme="majorHAnsi"/>
          <w:iCs/>
          <w:szCs w:val="22"/>
        </w:rPr>
      </w:pPr>
      <w:r w:rsidRPr="00724B9B">
        <w:rPr>
          <w:rFonts w:asciiTheme="majorHAnsi" w:hAnsiTheme="majorHAnsi" w:cstheme="majorHAnsi"/>
          <w:b/>
          <w:bCs/>
          <w:szCs w:val="22"/>
        </w:rPr>
        <w:t>Project:</w:t>
      </w:r>
      <w:r w:rsidRPr="00724B9B">
        <w:rPr>
          <w:rFonts w:asciiTheme="majorHAnsi" w:hAnsiTheme="majorHAnsi" w:cstheme="majorHAnsi"/>
          <w:szCs w:val="22"/>
        </w:rPr>
        <w:t xml:space="preserve"> </w:t>
      </w:r>
      <w:r w:rsidRPr="00724B9B">
        <w:rPr>
          <w:rFonts w:asciiTheme="majorHAnsi" w:hAnsiTheme="majorHAnsi" w:cstheme="majorHAnsi"/>
          <w:iCs/>
          <w:szCs w:val="22"/>
        </w:rPr>
        <w:t xml:space="preserve">Support for The Health System Strengthening for The Prevention and Care Management of Non-Communicable Disease Programme </w:t>
      </w:r>
    </w:p>
    <w:p w14:paraId="47950432" w14:textId="77777777" w:rsidR="0006265F" w:rsidRPr="00724B9B" w:rsidRDefault="0006265F" w:rsidP="0006265F">
      <w:pPr>
        <w:autoSpaceDE w:val="0"/>
        <w:autoSpaceDN w:val="0"/>
        <w:adjustRightInd w:val="0"/>
        <w:spacing w:before="60" w:after="60"/>
        <w:rPr>
          <w:rFonts w:asciiTheme="majorHAnsi" w:hAnsiTheme="majorHAnsi" w:cstheme="majorHAnsi"/>
          <w:szCs w:val="22"/>
        </w:rPr>
      </w:pPr>
      <w:r w:rsidRPr="00724B9B">
        <w:rPr>
          <w:rFonts w:asciiTheme="majorHAnsi" w:hAnsiTheme="majorHAnsi" w:cstheme="majorHAnsi"/>
          <w:b/>
          <w:bCs/>
          <w:szCs w:val="22"/>
        </w:rPr>
        <w:t>Sector:</w:t>
      </w:r>
      <w:r w:rsidRPr="00724B9B">
        <w:rPr>
          <w:rFonts w:asciiTheme="majorHAnsi" w:hAnsiTheme="majorHAnsi" w:cstheme="majorHAnsi"/>
          <w:szCs w:val="22"/>
        </w:rPr>
        <w:t xml:space="preserve"> </w:t>
      </w:r>
      <w:r w:rsidRPr="00724B9B">
        <w:rPr>
          <w:rFonts w:asciiTheme="majorHAnsi" w:hAnsiTheme="majorHAnsi" w:cstheme="majorHAnsi"/>
          <w:iCs/>
          <w:szCs w:val="22"/>
        </w:rPr>
        <w:t>HEALTH</w:t>
      </w:r>
    </w:p>
    <w:p w14:paraId="3ACED585" w14:textId="77777777" w:rsidR="0006265F" w:rsidRPr="00724B9B" w:rsidRDefault="0006265F" w:rsidP="0006265F">
      <w:pPr>
        <w:spacing w:line="276" w:lineRule="auto"/>
        <w:rPr>
          <w:rFonts w:asciiTheme="majorHAnsi" w:hAnsiTheme="majorHAnsi" w:cstheme="majorHAnsi"/>
          <w:i/>
          <w:szCs w:val="22"/>
        </w:rPr>
      </w:pPr>
      <w:r w:rsidRPr="00724B9B">
        <w:rPr>
          <w:rFonts w:asciiTheme="majorHAnsi" w:hAnsiTheme="majorHAnsi" w:cstheme="majorHAnsi"/>
          <w:b/>
          <w:bCs/>
          <w:szCs w:val="22"/>
        </w:rPr>
        <w:t xml:space="preserve">Loan/Credit/Grant No.: </w:t>
      </w:r>
      <w:r w:rsidRPr="00724B9B">
        <w:rPr>
          <w:rFonts w:asciiTheme="majorHAnsi" w:hAnsiTheme="majorHAnsi" w:cstheme="majorHAnsi"/>
          <w:iCs/>
          <w:szCs w:val="22"/>
        </w:rPr>
        <w:t>JA – L1049</w:t>
      </w:r>
    </w:p>
    <w:p w14:paraId="2BE2239D" w14:textId="77777777" w:rsidR="0006265F" w:rsidRPr="00724B9B" w:rsidRDefault="0006265F" w:rsidP="0006265F">
      <w:pPr>
        <w:autoSpaceDE w:val="0"/>
        <w:autoSpaceDN w:val="0"/>
        <w:adjustRightInd w:val="0"/>
        <w:spacing w:before="60" w:after="60"/>
        <w:rPr>
          <w:rFonts w:asciiTheme="majorHAnsi" w:hAnsiTheme="majorHAnsi" w:cstheme="majorHAnsi"/>
          <w:i/>
          <w:szCs w:val="22"/>
        </w:rPr>
      </w:pPr>
      <w:r w:rsidRPr="00724B9B">
        <w:rPr>
          <w:rFonts w:asciiTheme="majorHAnsi" w:hAnsiTheme="majorHAnsi" w:cstheme="majorHAnsi"/>
          <w:b/>
          <w:bCs/>
          <w:szCs w:val="22"/>
        </w:rPr>
        <w:t>Contract/Bid No.:</w:t>
      </w:r>
      <w:r w:rsidRPr="00724B9B">
        <w:rPr>
          <w:rFonts w:asciiTheme="majorHAnsi" w:hAnsiTheme="majorHAnsi" w:cstheme="majorHAnsi"/>
          <w:szCs w:val="22"/>
        </w:rPr>
        <w:t xml:space="preserve"> </w:t>
      </w:r>
      <w:r w:rsidRPr="002B3D1B">
        <w:rPr>
          <w:rFonts w:asciiTheme="majorHAnsi" w:hAnsiTheme="majorHAnsi" w:cstheme="majorHAnsi"/>
          <w:szCs w:val="22"/>
        </w:rPr>
        <w:t>SHSSP-117-SBCC-CF-3.2.1</w:t>
      </w:r>
    </w:p>
    <w:p w14:paraId="1D7CFEC7" w14:textId="2818E128" w:rsidR="0006265F" w:rsidRPr="00724B9B" w:rsidRDefault="0006265F" w:rsidP="0006265F">
      <w:pPr>
        <w:autoSpaceDE w:val="0"/>
        <w:autoSpaceDN w:val="0"/>
        <w:adjustRightInd w:val="0"/>
        <w:spacing w:before="60" w:after="60"/>
        <w:rPr>
          <w:rFonts w:asciiTheme="majorHAnsi" w:hAnsiTheme="majorHAnsi" w:cstheme="majorHAnsi"/>
          <w:b/>
          <w:i/>
          <w:szCs w:val="22"/>
        </w:rPr>
      </w:pPr>
      <w:r w:rsidRPr="00724B9B">
        <w:rPr>
          <w:rFonts w:asciiTheme="majorHAnsi" w:hAnsiTheme="majorHAnsi" w:cstheme="majorHAnsi"/>
          <w:b/>
          <w:bCs/>
          <w:szCs w:val="22"/>
        </w:rPr>
        <w:t>Deadline</w:t>
      </w:r>
      <w:r w:rsidRPr="000127A1">
        <w:rPr>
          <w:rFonts w:asciiTheme="majorHAnsi" w:hAnsiTheme="majorHAnsi" w:cstheme="majorHAnsi"/>
          <w:b/>
          <w:bCs/>
          <w:i/>
          <w:iCs/>
          <w:szCs w:val="22"/>
          <w:highlight w:val="yellow"/>
        </w:rPr>
        <w:t>:</w:t>
      </w:r>
      <w:r w:rsidRPr="000127A1">
        <w:rPr>
          <w:rFonts w:asciiTheme="majorHAnsi" w:hAnsiTheme="majorHAnsi" w:cstheme="majorHAnsi"/>
          <w:i/>
          <w:iCs/>
          <w:szCs w:val="22"/>
          <w:highlight w:val="yellow"/>
        </w:rPr>
        <w:t xml:space="preserve"> </w:t>
      </w:r>
      <w:r w:rsidR="00754079">
        <w:rPr>
          <w:rFonts w:asciiTheme="majorHAnsi" w:hAnsiTheme="majorHAnsi" w:cstheme="majorHAnsi"/>
          <w:b/>
          <w:iCs/>
          <w:szCs w:val="22"/>
          <w:highlight w:val="yellow"/>
        </w:rPr>
        <w:t>November 15</w:t>
      </w:r>
      <w:r w:rsidRPr="000127A1">
        <w:rPr>
          <w:rFonts w:asciiTheme="majorHAnsi" w:hAnsiTheme="majorHAnsi" w:cstheme="majorHAnsi"/>
          <w:b/>
          <w:iCs/>
          <w:szCs w:val="22"/>
          <w:highlight w:val="yellow"/>
        </w:rPr>
        <w:t>, 2021</w:t>
      </w:r>
    </w:p>
    <w:p w14:paraId="5F46C95F" w14:textId="77777777" w:rsidR="0006265F" w:rsidRPr="00986326" w:rsidRDefault="0006265F" w:rsidP="0006265F">
      <w:pPr>
        <w:rPr>
          <w:rFonts w:ascii="Times New Roman" w:hAnsi="Times New Roman"/>
          <w:b/>
          <w:spacing w:val="-2"/>
          <w:szCs w:val="22"/>
        </w:rPr>
      </w:pPr>
    </w:p>
    <w:p w14:paraId="39A81A61" w14:textId="77777777" w:rsidR="0006265F" w:rsidRPr="00BA188B" w:rsidRDefault="0006265F" w:rsidP="0006265F">
      <w:pPr>
        <w:rPr>
          <w:rFonts w:ascii="Times New Roman" w:hAnsi="Times New Roman"/>
          <w:spacing w:val="-2"/>
          <w:szCs w:val="22"/>
        </w:rPr>
      </w:pPr>
      <w:r w:rsidRPr="00BA188B">
        <w:rPr>
          <w:rFonts w:ascii="Times New Roman" w:hAnsi="Times New Roman"/>
          <w:spacing w:val="-2"/>
          <w:szCs w:val="22"/>
        </w:rPr>
        <w:t>The Government of Jamaica</w:t>
      </w:r>
      <w:r>
        <w:rPr>
          <w:rFonts w:ascii="Times New Roman" w:hAnsi="Times New Roman"/>
          <w:spacing w:val="-2"/>
          <w:szCs w:val="22"/>
        </w:rPr>
        <w:t>,</w:t>
      </w:r>
      <w:r w:rsidRPr="00BA188B">
        <w:rPr>
          <w:rFonts w:ascii="Times New Roman" w:hAnsi="Times New Roman"/>
          <w:spacing w:val="-2"/>
          <w:szCs w:val="22"/>
        </w:rPr>
        <w:t xml:space="preserve"> through the Ministry of Health and Wellness</w:t>
      </w:r>
      <w:r>
        <w:rPr>
          <w:rFonts w:ascii="Times New Roman" w:hAnsi="Times New Roman"/>
          <w:spacing w:val="-2"/>
          <w:szCs w:val="22"/>
        </w:rPr>
        <w:t>,</w:t>
      </w:r>
      <w:r w:rsidRPr="00BA188B">
        <w:rPr>
          <w:rFonts w:ascii="Times New Roman" w:hAnsi="Times New Roman"/>
          <w:spacing w:val="-2"/>
          <w:szCs w:val="22"/>
        </w:rPr>
        <w:t xml:space="preserve"> has received financing from the Inter-American Development Bank (IDB), toward the cost of the Support for The Health System Strengthening for The Prevention and Care Management of Non-Communicable Disease Programme, and intends to apply part of the proceeds for consulting services.</w:t>
      </w:r>
    </w:p>
    <w:p w14:paraId="0108BF0D" w14:textId="77777777" w:rsidR="0006265F" w:rsidRPr="00BA188B" w:rsidRDefault="0006265F" w:rsidP="0006265F">
      <w:pPr>
        <w:rPr>
          <w:rFonts w:ascii="Times New Roman" w:hAnsi="Times New Roman"/>
          <w:spacing w:val="-2"/>
          <w:sz w:val="16"/>
          <w:szCs w:val="16"/>
        </w:rPr>
      </w:pPr>
    </w:p>
    <w:p w14:paraId="479617F6" w14:textId="77777777" w:rsidR="0006265F" w:rsidRPr="00BA188B" w:rsidRDefault="0006265F" w:rsidP="0006265F">
      <w:pPr>
        <w:rPr>
          <w:rFonts w:ascii="Times New Roman" w:hAnsi="Times New Roman"/>
          <w:spacing w:val="-2"/>
          <w:sz w:val="16"/>
          <w:szCs w:val="16"/>
        </w:rPr>
      </w:pPr>
    </w:p>
    <w:p w14:paraId="642201B9" w14:textId="77777777" w:rsidR="0006265F" w:rsidRDefault="0006265F" w:rsidP="0006265F">
      <w:pPr>
        <w:rPr>
          <w:rFonts w:ascii="Times New Roman" w:hAnsi="Times New Roman"/>
          <w:spacing w:val="-2"/>
          <w:szCs w:val="22"/>
        </w:rPr>
      </w:pPr>
      <w:r w:rsidRPr="000127A1">
        <w:rPr>
          <w:rFonts w:ascii="Times New Roman" w:hAnsi="Times New Roman"/>
          <w:spacing w:val="-2"/>
          <w:szCs w:val="22"/>
        </w:rPr>
        <w:t xml:space="preserve">The consulting services ("the Services") </w:t>
      </w:r>
      <w:r>
        <w:rPr>
          <w:rFonts w:ascii="Times New Roman" w:hAnsi="Times New Roman"/>
          <w:spacing w:val="-2"/>
          <w:szCs w:val="22"/>
        </w:rPr>
        <w:t>will</w:t>
      </w:r>
      <w:r w:rsidRPr="000127A1">
        <w:rPr>
          <w:rFonts w:ascii="Times New Roman" w:hAnsi="Times New Roman"/>
          <w:spacing w:val="-2"/>
          <w:szCs w:val="22"/>
        </w:rPr>
        <w:t xml:space="preserve"> ascertain the Health System Strengthening Programme's effectiveness to reduce Non-Communicable (Chronic) Diseases </w:t>
      </w:r>
      <w:r>
        <w:rPr>
          <w:rFonts w:ascii="Times New Roman" w:hAnsi="Times New Roman"/>
          <w:spacing w:val="-2"/>
          <w:szCs w:val="22"/>
        </w:rPr>
        <w:t>risk factors and</w:t>
      </w:r>
      <w:r w:rsidRPr="00434792">
        <w:rPr>
          <w:rFonts w:ascii="Times New Roman" w:hAnsi="Times New Roman"/>
          <w:spacing w:val="-2"/>
          <w:szCs w:val="22"/>
        </w:rPr>
        <w:t xml:space="preserve"> improve the access, efficiency, and quality of ambulatory and hospital care to patients with NCDs in prioritized areas. </w:t>
      </w:r>
      <w:r w:rsidRPr="000127A1">
        <w:rPr>
          <w:rFonts w:ascii="Times New Roman" w:hAnsi="Times New Roman"/>
          <w:b/>
          <w:spacing w:val="-2"/>
          <w:szCs w:val="22"/>
        </w:rPr>
        <w:t>The consultancy will have a duration of 6 months</w:t>
      </w:r>
      <w:r w:rsidRPr="000127A1">
        <w:rPr>
          <w:rFonts w:ascii="Times New Roman" w:hAnsi="Times New Roman"/>
          <w:spacing w:val="-2"/>
          <w:szCs w:val="22"/>
        </w:rPr>
        <w:t>.</w:t>
      </w:r>
    </w:p>
    <w:p w14:paraId="07A8F4D8" w14:textId="77777777" w:rsidR="0006265F" w:rsidRPr="00BA188B" w:rsidRDefault="0006265F" w:rsidP="0006265F">
      <w:pPr>
        <w:rPr>
          <w:rFonts w:ascii="Times New Roman" w:hAnsi="Times New Roman"/>
          <w:spacing w:val="-2"/>
          <w:szCs w:val="22"/>
        </w:rPr>
      </w:pPr>
    </w:p>
    <w:p w14:paraId="77C5C5C0" w14:textId="77777777" w:rsidR="0006265F" w:rsidRPr="00BA188B" w:rsidRDefault="0006265F" w:rsidP="0006265F">
      <w:pPr>
        <w:rPr>
          <w:rFonts w:ascii="Times New Roman" w:hAnsi="Times New Roman"/>
          <w:spacing w:val="-2"/>
          <w:szCs w:val="22"/>
        </w:rPr>
      </w:pPr>
      <w:r w:rsidRPr="00BA188B">
        <w:rPr>
          <w:rFonts w:ascii="Times New Roman" w:hAnsi="Times New Roman"/>
          <w:spacing w:val="-2"/>
          <w:szCs w:val="22"/>
        </w:rPr>
        <w:t>The Ministry of Health and Wellness now invites eligible consulting firms (</w:t>
      </w:r>
      <w:r>
        <w:rPr>
          <w:rFonts w:ascii="Times New Roman" w:hAnsi="Times New Roman"/>
          <w:spacing w:val="-2"/>
          <w:szCs w:val="22"/>
        </w:rPr>
        <w:t>"</w:t>
      </w:r>
      <w:r w:rsidRPr="00BA188B">
        <w:rPr>
          <w:rFonts w:ascii="Times New Roman" w:hAnsi="Times New Roman"/>
          <w:spacing w:val="-2"/>
          <w:szCs w:val="22"/>
        </w:rPr>
        <w:t>Consultants</w:t>
      </w:r>
      <w:r>
        <w:rPr>
          <w:rFonts w:ascii="Times New Roman" w:hAnsi="Times New Roman"/>
          <w:spacing w:val="-2"/>
          <w:szCs w:val="22"/>
        </w:rPr>
        <w:t>"</w:t>
      </w:r>
      <w:r w:rsidRPr="00BA188B">
        <w:rPr>
          <w:rFonts w:ascii="Times New Roman" w:hAnsi="Times New Roman"/>
          <w:spacing w:val="-2"/>
          <w:szCs w:val="22"/>
        </w:rPr>
        <w:t>) to indicate their interest in providing the Services. Interested Consultants should provide information demonstrating that they have the required qualifications and relevant experience to perform the Services. The firm should meet the following criteria:</w:t>
      </w:r>
    </w:p>
    <w:p w14:paraId="79405B4C" w14:textId="77777777" w:rsidR="0006265F" w:rsidRPr="00BA188B" w:rsidRDefault="0006265F" w:rsidP="0006265F">
      <w:pPr>
        <w:rPr>
          <w:rFonts w:ascii="Times New Roman" w:hAnsi="Times New Roman"/>
          <w:spacing w:val="-2"/>
          <w:szCs w:val="22"/>
        </w:rPr>
      </w:pPr>
    </w:p>
    <w:p w14:paraId="34FB58E3" w14:textId="77777777" w:rsidR="0006265F" w:rsidRPr="002B3D1B" w:rsidRDefault="0006265F" w:rsidP="0006265F">
      <w:pPr>
        <w:numPr>
          <w:ilvl w:val="0"/>
          <w:numId w:val="19"/>
        </w:numPr>
        <w:spacing w:before="0" w:after="0"/>
        <w:rPr>
          <w:rFonts w:ascii="Times New Roman" w:hAnsi="Times New Roman"/>
          <w:spacing w:val="-2"/>
          <w:szCs w:val="22"/>
        </w:rPr>
      </w:pPr>
      <w:r w:rsidRPr="002B3D1B">
        <w:rPr>
          <w:rFonts w:ascii="Times New Roman" w:hAnsi="Times New Roman"/>
          <w:spacing w:val="-2"/>
          <w:szCs w:val="22"/>
        </w:rPr>
        <w:t>Experience organizing large-scale surveys, studies or impact evaluations within the past five (5) - ten (10) years.</w:t>
      </w:r>
    </w:p>
    <w:p w14:paraId="298DD40F" w14:textId="77777777" w:rsidR="0006265F" w:rsidRPr="002B3D1B" w:rsidRDefault="0006265F" w:rsidP="0006265F">
      <w:pPr>
        <w:numPr>
          <w:ilvl w:val="0"/>
          <w:numId w:val="19"/>
        </w:numPr>
        <w:spacing w:before="0" w:after="0"/>
        <w:rPr>
          <w:rFonts w:ascii="Times New Roman" w:hAnsi="Times New Roman"/>
          <w:spacing w:val="-2"/>
          <w:szCs w:val="22"/>
        </w:rPr>
      </w:pPr>
      <w:r w:rsidRPr="002B3D1B">
        <w:rPr>
          <w:rFonts w:ascii="Times New Roman" w:hAnsi="Times New Roman"/>
          <w:spacing w:val="-2"/>
          <w:szCs w:val="22"/>
        </w:rPr>
        <w:t>Experience in design and implementation of evaluations of quantitative impact using randomized or otherwise controlled designs in the health sector </w:t>
      </w:r>
    </w:p>
    <w:p w14:paraId="410D03E3" w14:textId="77777777" w:rsidR="0006265F" w:rsidRPr="00BA188B" w:rsidRDefault="0006265F" w:rsidP="0006265F">
      <w:pPr>
        <w:rPr>
          <w:rFonts w:ascii="Times New Roman" w:hAnsi="Times New Roman"/>
          <w:spacing w:val="-2"/>
          <w:szCs w:val="22"/>
        </w:rPr>
      </w:pPr>
    </w:p>
    <w:p w14:paraId="2B5AFD66" w14:textId="77777777" w:rsidR="0006265F" w:rsidRPr="00BA188B" w:rsidRDefault="0006265F" w:rsidP="0006265F">
      <w:pPr>
        <w:rPr>
          <w:rFonts w:ascii="Times New Roman" w:hAnsi="Times New Roman"/>
          <w:spacing w:val="-2"/>
          <w:szCs w:val="22"/>
        </w:rPr>
      </w:pPr>
      <w:r w:rsidRPr="00BA188B">
        <w:rPr>
          <w:rFonts w:ascii="Times New Roman" w:hAnsi="Times New Roman"/>
          <w:spacing w:val="-2"/>
          <w:szCs w:val="22"/>
        </w:rPr>
        <w:t xml:space="preserve">Consultants will be selected </w:t>
      </w:r>
      <w:r>
        <w:rPr>
          <w:rFonts w:ascii="Times New Roman" w:hAnsi="Times New Roman"/>
          <w:spacing w:val="-2"/>
          <w:szCs w:val="22"/>
        </w:rPr>
        <w:t>according to the procedures set out in the Inter-American Development Bank: Policies for the Selection and Contracting of Consultants financed by the Inter-American Development Bank GN-2350-9 and is open to all eligible bidder</w:t>
      </w:r>
      <w:r w:rsidRPr="00BA188B">
        <w:rPr>
          <w:rFonts w:ascii="Times New Roman" w:hAnsi="Times New Roman"/>
          <w:spacing w:val="-2"/>
          <w:szCs w:val="22"/>
        </w:rPr>
        <w:t>s defined in the policies.</w:t>
      </w:r>
    </w:p>
    <w:p w14:paraId="5CB7F50A" w14:textId="77777777" w:rsidR="0006265F" w:rsidRPr="00BA188B" w:rsidRDefault="0006265F" w:rsidP="0006265F">
      <w:pPr>
        <w:rPr>
          <w:rFonts w:ascii="Times New Roman" w:hAnsi="Times New Roman"/>
          <w:spacing w:val="-2"/>
          <w:sz w:val="16"/>
          <w:szCs w:val="16"/>
        </w:rPr>
      </w:pPr>
    </w:p>
    <w:p w14:paraId="1840694F" w14:textId="77777777" w:rsidR="0006265F" w:rsidRPr="00BA188B" w:rsidRDefault="0006265F" w:rsidP="0006265F">
      <w:pPr>
        <w:rPr>
          <w:rFonts w:ascii="Times New Roman" w:hAnsi="Times New Roman"/>
          <w:szCs w:val="22"/>
        </w:rPr>
      </w:pPr>
      <w:r w:rsidRPr="00BA188B">
        <w:rPr>
          <w:rFonts w:ascii="Times New Roman" w:hAnsi="Times New Roman"/>
          <w:spacing w:val="-2"/>
          <w:szCs w:val="22"/>
        </w:rPr>
        <w:t>Consultants may associate with other firms to enhance their qualifications</w:t>
      </w:r>
      <w:r w:rsidRPr="00BA188B">
        <w:rPr>
          <w:rFonts w:ascii="Times New Roman" w:hAnsi="Times New Roman"/>
          <w:szCs w:val="22"/>
        </w:rPr>
        <w:t xml:space="preserve"> but should indicate clearly whether the association is in the form of a joint venture and/or a sub-consultancy. I</w:t>
      </w:r>
      <w:r>
        <w:rPr>
          <w:rFonts w:ascii="Times New Roman" w:hAnsi="Times New Roman"/>
          <w:szCs w:val="22"/>
        </w:rPr>
        <w:t>f selected, all the partners in the joint venture shall be jointly and severally liable for the entire contract in the case of a joint venture</w:t>
      </w:r>
      <w:r w:rsidRPr="00BA188B">
        <w:rPr>
          <w:rFonts w:ascii="Times New Roman" w:hAnsi="Times New Roman"/>
          <w:szCs w:val="22"/>
        </w:rPr>
        <w:t>.</w:t>
      </w:r>
    </w:p>
    <w:p w14:paraId="7A14CC05" w14:textId="77777777" w:rsidR="0006265F" w:rsidRPr="00BA188B" w:rsidRDefault="0006265F" w:rsidP="0006265F">
      <w:pPr>
        <w:rPr>
          <w:rFonts w:ascii="Times New Roman" w:hAnsi="Times New Roman"/>
          <w:spacing w:val="-2"/>
          <w:sz w:val="16"/>
          <w:szCs w:val="16"/>
        </w:rPr>
      </w:pPr>
    </w:p>
    <w:p w14:paraId="0AE3D13C" w14:textId="77777777" w:rsidR="0006265F" w:rsidRPr="00BA188B" w:rsidRDefault="0006265F" w:rsidP="0006265F">
      <w:pPr>
        <w:rPr>
          <w:rFonts w:ascii="Times New Roman" w:hAnsi="Times New Roman"/>
          <w:spacing w:val="-2"/>
          <w:szCs w:val="22"/>
        </w:rPr>
      </w:pPr>
      <w:r w:rsidRPr="00BA188B">
        <w:rPr>
          <w:rFonts w:ascii="Times New Roman" w:hAnsi="Times New Roman"/>
          <w:spacing w:val="-2"/>
          <w:szCs w:val="22"/>
        </w:rPr>
        <w:t xml:space="preserve">A Consultant will be selected in accordance with the </w:t>
      </w:r>
      <w:r w:rsidRPr="002B3D1B">
        <w:rPr>
          <w:rFonts w:ascii="Times New Roman" w:hAnsi="Times New Roman"/>
          <w:spacing w:val="-2"/>
          <w:szCs w:val="22"/>
        </w:rPr>
        <w:t>Quality and Cost Based Selection set out in the IDB's Policies.</w:t>
      </w:r>
      <w:r w:rsidRPr="00BA188B">
        <w:rPr>
          <w:rFonts w:ascii="Times New Roman" w:hAnsi="Times New Roman"/>
          <w:spacing w:val="-2"/>
          <w:szCs w:val="22"/>
        </w:rPr>
        <w:t xml:space="preserve"> </w:t>
      </w:r>
    </w:p>
    <w:p w14:paraId="60DE902F" w14:textId="77777777" w:rsidR="0006265F" w:rsidRPr="00BA188B" w:rsidRDefault="0006265F" w:rsidP="0006265F">
      <w:pPr>
        <w:rPr>
          <w:rFonts w:ascii="Times New Roman" w:hAnsi="Times New Roman"/>
          <w:spacing w:val="-2"/>
          <w:sz w:val="16"/>
          <w:szCs w:val="16"/>
        </w:rPr>
      </w:pPr>
    </w:p>
    <w:p w14:paraId="554E4D6A" w14:textId="157FD0C8" w:rsidR="0006265F" w:rsidRPr="00BA188B" w:rsidRDefault="0006265F" w:rsidP="0006265F">
      <w:pPr>
        <w:rPr>
          <w:rFonts w:ascii="Times New Roman" w:hAnsi="Times New Roman"/>
          <w:b/>
          <w:szCs w:val="22"/>
        </w:rPr>
      </w:pPr>
      <w:r w:rsidRPr="00BA188B">
        <w:rPr>
          <w:rFonts w:ascii="Times New Roman" w:hAnsi="Times New Roman"/>
          <w:szCs w:val="22"/>
        </w:rPr>
        <w:t xml:space="preserve">Expressions of interest (EOI) must be delivered via the government electronic procurement portal at </w:t>
      </w:r>
      <w:hyperlink r:id="rId16" w:history="1">
        <w:r w:rsidRPr="00BA188B">
          <w:rPr>
            <w:rStyle w:val="Hyperlink"/>
            <w:rFonts w:ascii="Times New Roman" w:hAnsi="Times New Roman"/>
            <w:szCs w:val="22"/>
          </w:rPr>
          <w:t>https://www.gojep.gov.jm</w:t>
        </w:r>
      </w:hyperlink>
      <w:r w:rsidRPr="00BA188B">
        <w:rPr>
          <w:rFonts w:ascii="Times New Roman" w:hAnsi="Times New Roman"/>
          <w:szCs w:val="22"/>
        </w:rPr>
        <w:t xml:space="preserve"> by </w:t>
      </w:r>
      <w:r w:rsidRPr="00BA188B">
        <w:rPr>
          <w:rFonts w:ascii="Times New Roman" w:hAnsi="Times New Roman"/>
          <w:b/>
          <w:szCs w:val="22"/>
          <w:u w:val="single"/>
        </w:rPr>
        <w:t>4:00</w:t>
      </w:r>
      <w:r>
        <w:rPr>
          <w:rFonts w:ascii="Times New Roman" w:hAnsi="Times New Roman"/>
          <w:b/>
          <w:szCs w:val="22"/>
          <w:u w:val="single"/>
        </w:rPr>
        <w:t xml:space="preserve"> P.</w:t>
      </w:r>
      <w:r w:rsidRPr="000127A1">
        <w:rPr>
          <w:rFonts w:ascii="Times New Roman" w:hAnsi="Times New Roman"/>
          <w:b/>
          <w:szCs w:val="22"/>
          <w:u w:val="single"/>
        </w:rPr>
        <w:t>M.</w:t>
      </w:r>
      <w:r w:rsidRPr="000127A1">
        <w:rPr>
          <w:rFonts w:ascii="Times New Roman" w:hAnsi="Times New Roman"/>
          <w:b/>
          <w:szCs w:val="22"/>
        </w:rPr>
        <w:t xml:space="preserve"> </w:t>
      </w:r>
      <w:r w:rsidR="00754079">
        <w:rPr>
          <w:rFonts w:ascii="Times New Roman" w:hAnsi="Times New Roman"/>
          <w:b/>
          <w:szCs w:val="22"/>
          <w:highlight w:val="yellow"/>
          <w:u w:val="single"/>
        </w:rPr>
        <w:t>November 15</w:t>
      </w:r>
      <w:r w:rsidRPr="000127A1">
        <w:rPr>
          <w:rFonts w:ascii="Times New Roman" w:hAnsi="Times New Roman"/>
          <w:b/>
          <w:szCs w:val="22"/>
          <w:highlight w:val="yellow"/>
          <w:u w:val="single"/>
        </w:rPr>
        <w:t>, 2021</w:t>
      </w:r>
      <w:r w:rsidRPr="000127A1">
        <w:rPr>
          <w:rFonts w:ascii="Times New Roman" w:hAnsi="Times New Roman"/>
          <w:b/>
          <w:i/>
          <w:szCs w:val="22"/>
          <w:u w:val="single"/>
        </w:rPr>
        <w:t>.</w:t>
      </w:r>
      <w:r w:rsidRPr="00BA188B">
        <w:rPr>
          <w:rFonts w:ascii="Times New Roman" w:hAnsi="Times New Roman"/>
          <w:b/>
          <w:szCs w:val="22"/>
        </w:rPr>
        <w:t xml:space="preserve">  EOI will be opened online at 4:15</w:t>
      </w:r>
      <w:r>
        <w:rPr>
          <w:rFonts w:ascii="Times New Roman" w:hAnsi="Times New Roman"/>
          <w:b/>
          <w:szCs w:val="22"/>
        </w:rPr>
        <w:t xml:space="preserve"> P.M.</w:t>
      </w:r>
      <w:r w:rsidRPr="00BA188B">
        <w:rPr>
          <w:rFonts w:ascii="Times New Roman" w:hAnsi="Times New Roman"/>
          <w:b/>
          <w:szCs w:val="22"/>
        </w:rPr>
        <w:t xml:space="preserve">, </w:t>
      </w:r>
      <w:r w:rsidR="00754079">
        <w:rPr>
          <w:rFonts w:ascii="Times New Roman" w:hAnsi="Times New Roman"/>
          <w:b/>
          <w:szCs w:val="22"/>
          <w:highlight w:val="yellow"/>
        </w:rPr>
        <w:t>November 15</w:t>
      </w:r>
      <w:bookmarkStart w:id="1" w:name="_GoBack"/>
      <w:bookmarkEnd w:id="1"/>
      <w:r w:rsidRPr="000127A1">
        <w:rPr>
          <w:rFonts w:ascii="Times New Roman" w:hAnsi="Times New Roman"/>
          <w:b/>
          <w:szCs w:val="22"/>
          <w:highlight w:val="yellow"/>
        </w:rPr>
        <w:t>, 2021.</w:t>
      </w:r>
      <w:r>
        <w:rPr>
          <w:rFonts w:ascii="Times New Roman" w:hAnsi="Times New Roman"/>
          <w:b/>
          <w:szCs w:val="22"/>
        </w:rPr>
        <w:t xml:space="preserve"> Therefore, firms a</w:t>
      </w:r>
      <w:r w:rsidRPr="00BA188B">
        <w:rPr>
          <w:rFonts w:ascii="Times New Roman" w:hAnsi="Times New Roman"/>
          <w:b/>
          <w:szCs w:val="22"/>
        </w:rPr>
        <w:t xml:space="preserve">re urged to commence upload at least two (2) hours prior to the submission time. The Procuring Entity will not be held liable for EOIS not submitted on time due to </w:t>
      </w:r>
      <w:r>
        <w:rPr>
          <w:rFonts w:ascii="Times New Roman" w:hAnsi="Times New Roman"/>
          <w:b/>
          <w:szCs w:val="22"/>
        </w:rPr>
        <w:t xml:space="preserve">the </w:t>
      </w:r>
      <w:r w:rsidRPr="00BA188B">
        <w:rPr>
          <w:rFonts w:ascii="Times New Roman" w:hAnsi="Times New Roman"/>
          <w:b/>
          <w:szCs w:val="22"/>
        </w:rPr>
        <w:t xml:space="preserve">late commencement of the upload. </w:t>
      </w:r>
      <w:r>
        <w:rPr>
          <w:rFonts w:ascii="Times New Roman" w:hAnsi="Times New Roman"/>
          <w:b/>
          <w:szCs w:val="22"/>
        </w:rPr>
        <w:t>Firms must contact the Office of Public Procurement Policy at the FIRST SIGN of any technical difficulties</w:t>
      </w:r>
      <w:r w:rsidRPr="00BA188B">
        <w:rPr>
          <w:rFonts w:ascii="Times New Roman" w:hAnsi="Times New Roman"/>
          <w:b/>
          <w:szCs w:val="22"/>
        </w:rPr>
        <w:t>: (876) 932-5220,932-5253,932-5246.</w:t>
      </w:r>
    </w:p>
    <w:p w14:paraId="37FCBC64" w14:textId="77777777" w:rsidR="0006265F" w:rsidRPr="00BA188B" w:rsidRDefault="0006265F" w:rsidP="0006265F">
      <w:pPr>
        <w:rPr>
          <w:rFonts w:ascii="Times New Roman" w:hAnsi="Times New Roman"/>
          <w:b/>
          <w:spacing w:val="-2"/>
          <w:szCs w:val="22"/>
        </w:rPr>
      </w:pPr>
      <w:r>
        <w:rPr>
          <w:rFonts w:ascii="Times New Roman" w:hAnsi="Times New Roman"/>
          <w:b/>
          <w:szCs w:val="22"/>
        </w:rPr>
        <w:t>All firms who wish to</w:t>
      </w:r>
      <w:r w:rsidRPr="00BA188B">
        <w:rPr>
          <w:rFonts w:ascii="Times New Roman" w:hAnsi="Times New Roman"/>
          <w:b/>
          <w:szCs w:val="22"/>
        </w:rPr>
        <w:t xml:space="preserve"> partici</w:t>
      </w:r>
      <w:r>
        <w:rPr>
          <w:rFonts w:ascii="Times New Roman" w:hAnsi="Times New Roman"/>
          <w:b/>
          <w:szCs w:val="22"/>
        </w:rPr>
        <w:t xml:space="preserve">pate in this tender opportunity </w:t>
      </w:r>
      <w:r w:rsidRPr="00BA188B">
        <w:rPr>
          <w:rFonts w:ascii="Times New Roman" w:hAnsi="Times New Roman"/>
          <w:b/>
          <w:szCs w:val="22"/>
        </w:rPr>
        <w:t>must fir</w:t>
      </w:r>
      <w:r>
        <w:rPr>
          <w:rFonts w:ascii="Times New Roman" w:hAnsi="Times New Roman"/>
          <w:b/>
          <w:szCs w:val="22"/>
        </w:rPr>
        <w:t xml:space="preserve">st be registered on GOJEP at </w:t>
      </w:r>
      <w:r w:rsidRPr="00BA188B">
        <w:rPr>
          <w:rFonts w:ascii="Times New Roman" w:hAnsi="Times New Roman"/>
          <w:b/>
          <w:szCs w:val="22"/>
        </w:rPr>
        <w:t xml:space="preserve">www.gojep.gov.jm. To register, please select the </w:t>
      </w:r>
      <w:r>
        <w:rPr>
          <w:rFonts w:ascii="Times New Roman" w:hAnsi="Times New Roman"/>
          <w:b/>
          <w:szCs w:val="22"/>
        </w:rPr>
        <w:t>"</w:t>
      </w:r>
      <w:r w:rsidRPr="00BA188B">
        <w:rPr>
          <w:rFonts w:ascii="Times New Roman" w:hAnsi="Times New Roman"/>
          <w:b/>
          <w:szCs w:val="22"/>
        </w:rPr>
        <w:t>Register as a supplier</w:t>
      </w:r>
      <w:r>
        <w:rPr>
          <w:rFonts w:ascii="Times New Roman" w:hAnsi="Times New Roman"/>
          <w:b/>
          <w:szCs w:val="22"/>
        </w:rPr>
        <w:t>"</w:t>
      </w:r>
      <w:r w:rsidRPr="00BA188B">
        <w:rPr>
          <w:rFonts w:ascii="Times New Roman" w:hAnsi="Times New Roman"/>
          <w:b/>
          <w:szCs w:val="22"/>
        </w:rPr>
        <w:t xml:space="preserve"> link from the GOJEP system</w:t>
      </w:r>
      <w:r>
        <w:rPr>
          <w:rFonts w:ascii="Times New Roman" w:hAnsi="Times New Roman"/>
          <w:b/>
          <w:szCs w:val="22"/>
        </w:rPr>
        <w:t>'</w:t>
      </w:r>
      <w:r w:rsidRPr="00BA188B">
        <w:rPr>
          <w:rFonts w:ascii="Times New Roman" w:hAnsi="Times New Roman"/>
          <w:b/>
          <w:szCs w:val="22"/>
        </w:rPr>
        <w:t>s home page. For assistance regarding training, registration, download of tender documents and upload of tender proposals, please contact the Ministry of Finance, the Office of Public Procurement Policy Customer Care Desk at (876)932-5220/932-5246/932-5253/932-5251/932-5244 or e</w:t>
      </w:r>
      <w:r>
        <w:rPr>
          <w:rFonts w:ascii="Times New Roman" w:hAnsi="Times New Roman"/>
          <w:b/>
          <w:szCs w:val="22"/>
        </w:rPr>
        <w:t>-</w:t>
      </w:r>
      <w:r w:rsidRPr="00BA188B">
        <w:rPr>
          <w:rFonts w:ascii="Times New Roman" w:hAnsi="Times New Roman"/>
          <w:b/>
          <w:szCs w:val="22"/>
        </w:rPr>
        <w:t xml:space="preserve">mail at opppcustomercare@mof.gov.jm.  </w:t>
      </w:r>
    </w:p>
    <w:p w14:paraId="75D41CD8" w14:textId="77777777" w:rsidR="0006265F" w:rsidRPr="00BA188B" w:rsidRDefault="0006265F" w:rsidP="0006265F">
      <w:pPr>
        <w:rPr>
          <w:rFonts w:ascii="Times New Roman" w:hAnsi="Times New Roman"/>
          <w:spacing w:val="-2"/>
          <w:szCs w:val="22"/>
        </w:rPr>
      </w:pPr>
    </w:p>
    <w:p w14:paraId="65638679" w14:textId="77777777" w:rsidR="0006265F" w:rsidRPr="00BA188B" w:rsidRDefault="0006265F" w:rsidP="0006265F">
      <w:pPr>
        <w:rPr>
          <w:rFonts w:ascii="Times New Roman" w:hAnsi="Times New Roman"/>
          <w:i/>
          <w:szCs w:val="22"/>
        </w:rPr>
      </w:pPr>
      <w:r w:rsidRPr="00BA188B">
        <w:rPr>
          <w:rFonts w:ascii="Times New Roman" w:hAnsi="Times New Roman"/>
          <w:spacing w:val="-2"/>
          <w:szCs w:val="22"/>
        </w:rPr>
        <w:t xml:space="preserve">Further information can be obtained at the address below during office hours, Monday to Friday at </w:t>
      </w:r>
      <w:r w:rsidRPr="00BA188B">
        <w:rPr>
          <w:rFonts w:ascii="Times New Roman" w:hAnsi="Times New Roman"/>
          <w:i/>
          <w:spacing w:val="-2"/>
          <w:szCs w:val="22"/>
        </w:rPr>
        <w:t>9:00</w:t>
      </w:r>
      <w:r>
        <w:rPr>
          <w:rFonts w:ascii="Times New Roman" w:hAnsi="Times New Roman"/>
          <w:i/>
          <w:spacing w:val="-2"/>
          <w:szCs w:val="22"/>
        </w:rPr>
        <w:t xml:space="preserve"> </w:t>
      </w:r>
      <w:r w:rsidRPr="00BA188B">
        <w:rPr>
          <w:rFonts w:ascii="Times New Roman" w:hAnsi="Times New Roman"/>
          <w:i/>
          <w:spacing w:val="-2"/>
          <w:szCs w:val="22"/>
        </w:rPr>
        <w:t>A.M. to 4:00 P</w:t>
      </w:r>
      <w:r>
        <w:rPr>
          <w:rFonts w:ascii="Times New Roman" w:hAnsi="Times New Roman"/>
          <w:i/>
          <w:spacing w:val="-2"/>
          <w:szCs w:val="22"/>
        </w:rPr>
        <w:t>.</w:t>
      </w:r>
      <w:r w:rsidRPr="00BA188B">
        <w:rPr>
          <w:rFonts w:ascii="Times New Roman" w:hAnsi="Times New Roman"/>
          <w:i/>
          <w:spacing w:val="-2"/>
          <w:szCs w:val="22"/>
        </w:rPr>
        <w:t>M</w:t>
      </w:r>
      <w:r w:rsidRPr="00BA188B">
        <w:rPr>
          <w:rFonts w:ascii="Times New Roman" w:hAnsi="Times New Roman"/>
          <w:spacing w:val="-2"/>
          <w:szCs w:val="22"/>
        </w:rPr>
        <w:t>.:</w:t>
      </w:r>
    </w:p>
    <w:p w14:paraId="362AC179" w14:textId="77777777" w:rsidR="0006265F" w:rsidRPr="00BA188B" w:rsidRDefault="0006265F" w:rsidP="0006265F">
      <w:pPr>
        <w:spacing w:before="60" w:after="60"/>
        <w:jc w:val="center"/>
        <w:rPr>
          <w:rFonts w:ascii="Times New Roman" w:hAnsi="Times New Roman"/>
          <w:b/>
          <w:spacing w:val="-2"/>
          <w:szCs w:val="22"/>
        </w:rPr>
      </w:pPr>
      <w:r w:rsidRPr="00BA188B">
        <w:rPr>
          <w:rFonts w:ascii="Times New Roman" w:hAnsi="Times New Roman"/>
          <w:b/>
          <w:spacing w:val="-2"/>
          <w:szCs w:val="22"/>
        </w:rPr>
        <w:t>Support for the Health Systems Strengthening for the Prevention and Care Management of Non-Communicable Diseases (NCDs) Programme</w:t>
      </w:r>
    </w:p>
    <w:p w14:paraId="214D1FEB" w14:textId="77777777" w:rsidR="0006265F" w:rsidRPr="00BA188B" w:rsidRDefault="0006265F" w:rsidP="0006265F">
      <w:pPr>
        <w:spacing w:before="60" w:after="60"/>
        <w:jc w:val="center"/>
        <w:rPr>
          <w:rFonts w:ascii="Times New Roman" w:hAnsi="Times New Roman"/>
          <w:b/>
          <w:spacing w:val="-2"/>
          <w:szCs w:val="22"/>
        </w:rPr>
      </w:pPr>
      <w:r w:rsidRPr="00BA188B">
        <w:rPr>
          <w:rFonts w:ascii="Times New Roman" w:hAnsi="Times New Roman"/>
          <w:b/>
          <w:spacing w:val="-2"/>
          <w:szCs w:val="22"/>
        </w:rPr>
        <w:t>Ministry of Health and Wellness</w:t>
      </w:r>
    </w:p>
    <w:p w14:paraId="26CE2F7F" w14:textId="77777777" w:rsidR="0006265F" w:rsidRPr="00BA188B" w:rsidRDefault="0006265F" w:rsidP="0006265F">
      <w:pPr>
        <w:spacing w:before="60" w:after="60"/>
        <w:jc w:val="center"/>
        <w:rPr>
          <w:rFonts w:ascii="Times New Roman" w:hAnsi="Times New Roman"/>
          <w:b/>
          <w:spacing w:val="-2"/>
          <w:szCs w:val="22"/>
        </w:rPr>
      </w:pPr>
      <w:r w:rsidRPr="00BA188B">
        <w:rPr>
          <w:rFonts w:ascii="Times New Roman" w:hAnsi="Times New Roman"/>
          <w:b/>
          <w:spacing w:val="-2"/>
          <w:szCs w:val="22"/>
        </w:rPr>
        <w:t>Attn: The Procurement Management Specialist</w:t>
      </w:r>
    </w:p>
    <w:p w14:paraId="4F00ECA8" w14:textId="77777777" w:rsidR="0006265F" w:rsidRPr="00BA188B" w:rsidRDefault="0006265F" w:rsidP="0006265F">
      <w:pPr>
        <w:spacing w:before="60" w:after="60"/>
        <w:jc w:val="center"/>
        <w:rPr>
          <w:rFonts w:ascii="Times New Roman" w:hAnsi="Times New Roman"/>
          <w:b/>
          <w:spacing w:val="-2"/>
          <w:szCs w:val="22"/>
        </w:rPr>
      </w:pPr>
      <w:r w:rsidRPr="00BA188B">
        <w:rPr>
          <w:rFonts w:ascii="Times New Roman" w:hAnsi="Times New Roman"/>
          <w:b/>
          <w:spacing w:val="-2"/>
          <w:szCs w:val="22"/>
        </w:rPr>
        <w:t>IBM Building 3rd Floor,</w:t>
      </w:r>
    </w:p>
    <w:p w14:paraId="7183DAD8" w14:textId="77777777" w:rsidR="0006265F" w:rsidRPr="00BA188B" w:rsidRDefault="0006265F" w:rsidP="0006265F">
      <w:pPr>
        <w:spacing w:before="60" w:after="60"/>
        <w:jc w:val="center"/>
        <w:rPr>
          <w:rFonts w:ascii="Times New Roman" w:hAnsi="Times New Roman"/>
          <w:b/>
          <w:spacing w:val="-2"/>
          <w:szCs w:val="22"/>
        </w:rPr>
      </w:pPr>
      <w:r w:rsidRPr="00BA188B">
        <w:rPr>
          <w:rFonts w:ascii="Times New Roman" w:hAnsi="Times New Roman"/>
          <w:b/>
          <w:spacing w:val="-2"/>
          <w:szCs w:val="22"/>
        </w:rPr>
        <w:t>52 Knutsford Boulevard,</w:t>
      </w:r>
    </w:p>
    <w:p w14:paraId="6A6F8D4C" w14:textId="77777777" w:rsidR="0006265F" w:rsidRPr="00BA188B" w:rsidRDefault="0006265F" w:rsidP="0006265F">
      <w:pPr>
        <w:spacing w:before="60" w:after="60"/>
        <w:jc w:val="center"/>
        <w:rPr>
          <w:rFonts w:ascii="Times New Roman" w:hAnsi="Times New Roman"/>
          <w:b/>
          <w:spacing w:val="-2"/>
          <w:szCs w:val="22"/>
        </w:rPr>
      </w:pPr>
      <w:r w:rsidRPr="00BA188B">
        <w:rPr>
          <w:rFonts w:ascii="Times New Roman" w:hAnsi="Times New Roman"/>
          <w:b/>
          <w:spacing w:val="-2"/>
          <w:szCs w:val="22"/>
        </w:rPr>
        <w:t>Kingston 5.</w:t>
      </w:r>
    </w:p>
    <w:p w14:paraId="548C8E20" w14:textId="77777777" w:rsidR="0006265F" w:rsidRPr="00BA188B" w:rsidRDefault="0006265F" w:rsidP="0006265F">
      <w:pPr>
        <w:spacing w:before="60" w:after="60"/>
        <w:jc w:val="center"/>
        <w:rPr>
          <w:rFonts w:ascii="Times New Roman" w:hAnsi="Times New Roman"/>
          <w:b/>
          <w:spacing w:val="-2"/>
          <w:szCs w:val="22"/>
        </w:rPr>
      </w:pPr>
      <w:r w:rsidRPr="00BA188B">
        <w:rPr>
          <w:rFonts w:ascii="Times New Roman" w:hAnsi="Times New Roman"/>
          <w:b/>
          <w:spacing w:val="-2"/>
          <w:szCs w:val="22"/>
        </w:rPr>
        <w:t>Tel: (876) 633-7433</w:t>
      </w:r>
    </w:p>
    <w:p w14:paraId="2F354295" w14:textId="77777777" w:rsidR="0006265F" w:rsidRPr="00BA188B" w:rsidRDefault="0006265F" w:rsidP="0006265F">
      <w:pPr>
        <w:jc w:val="center"/>
        <w:rPr>
          <w:rFonts w:ascii="Times New Roman" w:hAnsi="Times New Roman"/>
          <w:b/>
          <w:szCs w:val="22"/>
        </w:rPr>
      </w:pPr>
      <w:r w:rsidRPr="00BA188B">
        <w:rPr>
          <w:rFonts w:ascii="Times New Roman" w:hAnsi="Times New Roman"/>
          <w:b/>
          <w:spacing w:val="-2"/>
          <w:szCs w:val="22"/>
        </w:rPr>
        <w:t xml:space="preserve">E-mail: </w:t>
      </w:r>
      <w:bookmarkStart w:id="2" w:name="_EXPRESIÓN_DE_INTERÉS"/>
      <w:bookmarkStart w:id="3" w:name="_TÉRMINOS_DE_REFERENCIA"/>
      <w:bookmarkEnd w:id="2"/>
      <w:bookmarkEnd w:id="3"/>
      <w:r w:rsidRPr="00BA188B">
        <w:rPr>
          <w:rFonts w:ascii="Times New Roman" w:hAnsi="Times New Roman"/>
          <w:b/>
          <w:spacing w:val="-2"/>
          <w:szCs w:val="22"/>
        </w:rPr>
        <w:t>hsspproject@moh.gov.jm</w:t>
      </w:r>
    </w:p>
    <w:p w14:paraId="2948299E" w14:textId="77777777" w:rsidR="0006265F" w:rsidRPr="00BA188B" w:rsidRDefault="0006265F" w:rsidP="0006265F">
      <w:pPr>
        <w:rPr>
          <w:rFonts w:ascii="Times New Roman" w:hAnsi="Times New Roman"/>
          <w:spacing w:val="-2"/>
          <w:sz w:val="20"/>
        </w:rPr>
      </w:pPr>
    </w:p>
    <w:p w14:paraId="5075CE78" w14:textId="42F4F651" w:rsidR="0006265F" w:rsidRDefault="0006265F" w:rsidP="0006265F">
      <w:pPr>
        <w:pStyle w:val="Heading1"/>
        <w:tabs>
          <w:tab w:val="left" w:pos="2231"/>
        </w:tabs>
        <w:rPr>
          <w:rFonts w:ascii="Arial" w:hAnsi="Arial" w:cs="Arial"/>
          <w:b/>
          <w:sz w:val="22"/>
          <w:szCs w:val="22"/>
        </w:rPr>
      </w:pPr>
      <w:r>
        <w:rPr>
          <w:rFonts w:ascii="Arial" w:hAnsi="Arial" w:cs="Arial"/>
          <w:b/>
          <w:sz w:val="22"/>
          <w:szCs w:val="22"/>
        </w:rPr>
        <w:lastRenderedPageBreak/>
        <w:tab/>
      </w:r>
    </w:p>
    <w:p w14:paraId="5D8C3B59" w14:textId="77777777" w:rsidR="0006265F" w:rsidRDefault="0006265F" w:rsidP="0006265F">
      <w:pPr>
        <w:pStyle w:val="Heading1"/>
        <w:rPr>
          <w:rFonts w:ascii="Arial" w:hAnsi="Arial" w:cs="Arial"/>
          <w:b/>
          <w:sz w:val="22"/>
          <w:szCs w:val="22"/>
        </w:rPr>
      </w:pPr>
    </w:p>
    <w:p w14:paraId="61B6185C" w14:textId="77777777" w:rsidR="0006265F" w:rsidRDefault="0006265F" w:rsidP="0006265F">
      <w:pPr>
        <w:pStyle w:val="Heading1"/>
        <w:rPr>
          <w:rFonts w:ascii="Arial" w:hAnsi="Arial" w:cs="Arial"/>
          <w:b/>
          <w:sz w:val="22"/>
          <w:szCs w:val="22"/>
        </w:rPr>
      </w:pPr>
    </w:p>
    <w:p w14:paraId="6659162D" w14:textId="16F575D5" w:rsidR="006A2CD4" w:rsidRPr="001255E6" w:rsidRDefault="00A27784" w:rsidP="0006265F">
      <w:pPr>
        <w:pStyle w:val="Heading1"/>
        <w:jc w:val="center"/>
        <w:rPr>
          <w:rFonts w:ascii="Arial" w:hAnsi="Arial" w:cs="Arial"/>
          <w:b/>
          <w:sz w:val="22"/>
          <w:szCs w:val="22"/>
        </w:rPr>
      </w:pPr>
      <w:r w:rsidRPr="001255E6">
        <w:rPr>
          <w:rFonts w:ascii="Arial" w:hAnsi="Arial" w:cs="Arial"/>
          <w:b/>
          <w:sz w:val="22"/>
          <w:szCs w:val="22"/>
        </w:rPr>
        <w:t>TERMS OF REFERENCE</w:t>
      </w:r>
      <w:bookmarkEnd w:id="0"/>
    </w:p>
    <w:p w14:paraId="6659162F" w14:textId="1315528D" w:rsidR="008644F0" w:rsidRPr="001255E6" w:rsidRDefault="00550729" w:rsidP="00591459">
      <w:pPr>
        <w:jc w:val="center"/>
        <w:rPr>
          <w:rFonts w:cs="Arial"/>
          <w:b/>
          <w:bCs/>
          <w:iCs/>
          <w:color w:val="002060"/>
          <w:sz w:val="24"/>
          <w:szCs w:val="24"/>
        </w:rPr>
      </w:pPr>
      <w:r w:rsidRPr="001255E6">
        <w:rPr>
          <w:rFonts w:cs="Arial"/>
          <w:b/>
          <w:bCs/>
          <w:iCs/>
          <w:color w:val="002060"/>
          <w:sz w:val="24"/>
          <w:szCs w:val="21"/>
        </w:rPr>
        <w:t>PROJECT IMPACT ASSESSMENT</w:t>
      </w:r>
    </w:p>
    <w:p w14:paraId="66591630" w14:textId="7F497549" w:rsidR="008644F0" w:rsidRPr="001255E6" w:rsidRDefault="000339DB" w:rsidP="009E4938">
      <w:pPr>
        <w:jc w:val="center"/>
        <w:rPr>
          <w:rFonts w:cs="Arial"/>
          <w:color w:val="0070C0"/>
          <w:spacing w:val="-2"/>
        </w:rPr>
      </w:pPr>
      <w:r w:rsidRPr="001255E6">
        <w:rPr>
          <w:rFonts w:cs="Arial"/>
          <w:color w:val="0070C0"/>
          <w:spacing w:val="-2"/>
        </w:rPr>
        <w:t>JAMAICA</w:t>
      </w:r>
    </w:p>
    <w:p w14:paraId="35EADC35" w14:textId="5CBA7A9E" w:rsidR="001154EA" w:rsidRPr="001255E6" w:rsidRDefault="004A0E03" w:rsidP="00C8181A">
      <w:pPr>
        <w:pStyle w:val="BodyText"/>
        <w:jc w:val="center"/>
        <w:rPr>
          <w:rFonts w:cs="Arial"/>
          <w:i/>
          <w:color w:val="0070C0"/>
          <w:szCs w:val="24"/>
        </w:rPr>
      </w:pPr>
      <w:r w:rsidRPr="001255E6">
        <w:rPr>
          <w:rFonts w:cs="Arial"/>
          <w:i/>
          <w:color w:val="0070C0"/>
          <w:szCs w:val="24"/>
        </w:rPr>
        <w:t xml:space="preserve">Project </w:t>
      </w:r>
      <w:r w:rsidR="000339DB" w:rsidRPr="001255E6">
        <w:rPr>
          <w:rFonts w:cs="Arial"/>
          <w:i/>
          <w:color w:val="0070C0"/>
          <w:szCs w:val="24"/>
        </w:rPr>
        <w:t>JA</w:t>
      </w:r>
      <w:r w:rsidR="00374019" w:rsidRPr="001255E6">
        <w:rPr>
          <w:rFonts w:cs="Arial"/>
          <w:i/>
          <w:color w:val="0070C0"/>
          <w:szCs w:val="24"/>
        </w:rPr>
        <w:t>-L</w:t>
      </w:r>
      <w:r w:rsidR="000339DB" w:rsidRPr="001255E6">
        <w:rPr>
          <w:rFonts w:cs="Arial"/>
          <w:i/>
          <w:color w:val="0070C0"/>
          <w:szCs w:val="24"/>
        </w:rPr>
        <w:t>104</w:t>
      </w:r>
      <w:r w:rsidR="001154EA" w:rsidRPr="001255E6">
        <w:rPr>
          <w:rFonts w:cs="Arial"/>
          <w:i/>
          <w:color w:val="0070C0"/>
          <w:szCs w:val="24"/>
        </w:rPr>
        <w:t>9</w:t>
      </w:r>
    </w:p>
    <w:bookmarkStart w:id="4" w:name="_Hlk518895407"/>
    <w:p w14:paraId="50B8FA01" w14:textId="0DB6CA3B" w:rsidR="00A40D0E" w:rsidRPr="001255E6" w:rsidRDefault="009E4938" w:rsidP="00591459">
      <w:pPr>
        <w:keepNext/>
        <w:jc w:val="center"/>
        <w:rPr>
          <w:rFonts w:cs="Arial"/>
          <w:b/>
          <w:smallCaps/>
          <w:sz w:val="21"/>
          <w:szCs w:val="16"/>
        </w:rPr>
      </w:pPr>
      <w:r w:rsidRPr="001255E6">
        <w:fldChar w:fldCharType="begin"/>
      </w:r>
      <w:r w:rsidRPr="001255E6">
        <w:instrText xml:space="preserve"> HYPERLINK "https://www.iadb.org/en/project/JA-L1049" \h </w:instrText>
      </w:r>
      <w:r w:rsidRPr="001255E6">
        <w:fldChar w:fldCharType="separate"/>
      </w:r>
      <w:r w:rsidRPr="001255E6">
        <w:rPr>
          <w:rStyle w:val="Hyperlink"/>
          <w:rFonts w:cs="Arial"/>
          <w:sz w:val="20"/>
          <w:szCs w:val="16"/>
        </w:rPr>
        <w:t>https://www.iadb.org/en/project/JA-L1049</w:t>
      </w:r>
      <w:r w:rsidRPr="001255E6">
        <w:rPr>
          <w:rStyle w:val="Hyperlink"/>
          <w:rFonts w:cs="Arial"/>
          <w:sz w:val="20"/>
          <w:szCs w:val="16"/>
        </w:rPr>
        <w:fldChar w:fldCharType="end"/>
      </w:r>
      <w:r w:rsidR="00A40D0E" w:rsidRPr="001255E6">
        <w:rPr>
          <w:rFonts w:cs="Arial"/>
          <w:i/>
          <w:color w:val="0070C0"/>
          <w:sz w:val="20"/>
          <w:szCs w:val="21"/>
        </w:rPr>
        <w:t xml:space="preserve">  </w:t>
      </w:r>
    </w:p>
    <w:p w14:paraId="663E5CEF" w14:textId="056D6499" w:rsidR="000339DB" w:rsidRPr="001255E6" w:rsidRDefault="000339DB" w:rsidP="000339DB">
      <w:pPr>
        <w:keepNext/>
        <w:jc w:val="center"/>
        <w:rPr>
          <w:rFonts w:cs="Arial"/>
          <w:b/>
          <w:smallCaps/>
          <w:sz w:val="21"/>
          <w:szCs w:val="21"/>
        </w:rPr>
      </w:pPr>
      <w:r w:rsidRPr="001255E6">
        <w:rPr>
          <w:rFonts w:cs="Arial"/>
          <w:b/>
          <w:smallCaps/>
          <w:sz w:val="28"/>
          <w:szCs w:val="21"/>
        </w:rPr>
        <w:t>Support for the Health System Strengthening Programme for the Prevention and Care Management of Non-Communicable Diseases</w:t>
      </w:r>
    </w:p>
    <w:bookmarkEnd w:id="4"/>
    <w:p w14:paraId="66591634" w14:textId="01D918CE" w:rsidR="00A27784" w:rsidRPr="001255E6" w:rsidRDefault="008644F0" w:rsidP="00A40D0E">
      <w:pPr>
        <w:pStyle w:val="BodyText"/>
        <w:rPr>
          <w:rFonts w:cs="Arial"/>
          <w:i/>
          <w:color w:val="0070C0"/>
          <w:szCs w:val="24"/>
        </w:rPr>
      </w:pPr>
      <w:r w:rsidRPr="001255E6">
        <w:rPr>
          <w:rFonts w:cs="Arial"/>
          <w:szCs w:val="22"/>
        </w:rPr>
        <w:tab/>
      </w:r>
      <w:r w:rsidR="00A40D0E" w:rsidRPr="001255E6">
        <w:rPr>
          <w:rFonts w:cs="Arial"/>
          <w:i/>
          <w:color w:val="0070C0"/>
          <w:szCs w:val="24"/>
        </w:rPr>
        <w:t xml:space="preserve">             </w:t>
      </w:r>
    </w:p>
    <w:bookmarkStart w:id="5" w:name="_Toc47607317" w:displacedByCustomXml="next"/>
    <w:sdt>
      <w:sdtPr>
        <w:rPr>
          <w:rFonts w:ascii="Arial" w:eastAsia="Times New Roman" w:hAnsi="Arial" w:cs="Times New Roman"/>
          <w:b w:val="0"/>
          <w:bCs w:val="0"/>
          <w:color w:val="auto"/>
          <w:sz w:val="22"/>
          <w:szCs w:val="20"/>
          <w:lang w:val="en-GB"/>
        </w:rPr>
        <w:id w:val="385840173"/>
        <w:docPartObj>
          <w:docPartGallery w:val="Table of Contents"/>
          <w:docPartUnique/>
        </w:docPartObj>
      </w:sdtPr>
      <w:sdtEndPr/>
      <w:sdtContent>
        <w:p w14:paraId="07D49127" w14:textId="40C6096F" w:rsidR="00437D1C" w:rsidRPr="001255E6" w:rsidRDefault="00437D1C">
          <w:pPr>
            <w:pStyle w:val="TOCHeading"/>
            <w:rPr>
              <w:lang w:val="en-GB"/>
            </w:rPr>
          </w:pPr>
          <w:r w:rsidRPr="001255E6">
            <w:rPr>
              <w:lang w:val="en-GB"/>
            </w:rPr>
            <w:t>Table of Contents</w:t>
          </w:r>
          <w:bookmarkEnd w:id="5"/>
        </w:p>
        <w:p w14:paraId="47B521C0" w14:textId="78A37D32" w:rsidR="00587AEA" w:rsidRDefault="00437D1C">
          <w:pPr>
            <w:pStyle w:val="TOC1"/>
            <w:tabs>
              <w:tab w:val="right" w:leader="dot" w:pos="9350"/>
            </w:tabs>
            <w:rPr>
              <w:rFonts w:eastAsiaTheme="minorEastAsia" w:cstheme="minorBidi"/>
              <w:b w:val="0"/>
              <w:bCs w:val="0"/>
              <w:i w:val="0"/>
              <w:iCs w:val="0"/>
              <w:noProof/>
              <w:sz w:val="22"/>
              <w:szCs w:val="22"/>
              <w:lang w:val="en-US"/>
            </w:rPr>
          </w:pPr>
          <w:r w:rsidRPr="001255E6">
            <w:rPr>
              <w:b w:val="0"/>
              <w:bCs w:val="0"/>
            </w:rPr>
            <w:fldChar w:fldCharType="begin"/>
          </w:r>
          <w:r w:rsidRPr="001255E6">
            <w:instrText xml:space="preserve"> TOC \o "1-3" \h \z \u </w:instrText>
          </w:r>
          <w:r w:rsidRPr="001255E6">
            <w:rPr>
              <w:b w:val="0"/>
              <w:bCs w:val="0"/>
            </w:rPr>
            <w:fldChar w:fldCharType="separate"/>
          </w:r>
          <w:hyperlink w:anchor="_Toc47607316" w:history="1">
            <w:r w:rsidR="00587AEA" w:rsidRPr="00531CDA">
              <w:rPr>
                <w:rStyle w:val="Hyperlink"/>
                <w:rFonts w:ascii="Arial" w:hAnsi="Arial" w:cs="Arial"/>
                <w:noProof/>
              </w:rPr>
              <w:t>TERMS OF REFERENCE</w:t>
            </w:r>
            <w:r w:rsidR="00587AEA">
              <w:rPr>
                <w:noProof/>
                <w:webHidden/>
              </w:rPr>
              <w:tab/>
            </w:r>
            <w:r w:rsidR="00587AEA">
              <w:rPr>
                <w:noProof/>
                <w:webHidden/>
              </w:rPr>
              <w:fldChar w:fldCharType="begin"/>
            </w:r>
            <w:r w:rsidR="00587AEA">
              <w:rPr>
                <w:noProof/>
                <w:webHidden/>
              </w:rPr>
              <w:instrText xml:space="preserve"> PAGEREF _Toc47607316 \h </w:instrText>
            </w:r>
            <w:r w:rsidR="00587AEA">
              <w:rPr>
                <w:noProof/>
                <w:webHidden/>
              </w:rPr>
            </w:r>
            <w:r w:rsidR="00587AEA">
              <w:rPr>
                <w:noProof/>
                <w:webHidden/>
              </w:rPr>
              <w:fldChar w:fldCharType="separate"/>
            </w:r>
            <w:r w:rsidR="00587AEA">
              <w:rPr>
                <w:noProof/>
                <w:webHidden/>
              </w:rPr>
              <w:t>1</w:t>
            </w:r>
            <w:r w:rsidR="00587AEA">
              <w:rPr>
                <w:noProof/>
                <w:webHidden/>
              </w:rPr>
              <w:fldChar w:fldCharType="end"/>
            </w:r>
          </w:hyperlink>
        </w:p>
        <w:p w14:paraId="0ADC97A6" w14:textId="5589C79E" w:rsidR="00587AEA" w:rsidRDefault="0091492A">
          <w:pPr>
            <w:pStyle w:val="TOC1"/>
            <w:tabs>
              <w:tab w:val="right" w:leader="dot" w:pos="9350"/>
            </w:tabs>
            <w:rPr>
              <w:rFonts w:eastAsiaTheme="minorEastAsia" w:cstheme="minorBidi"/>
              <w:b w:val="0"/>
              <w:bCs w:val="0"/>
              <w:i w:val="0"/>
              <w:iCs w:val="0"/>
              <w:noProof/>
              <w:sz w:val="22"/>
              <w:szCs w:val="22"/>
              <w:lang w:val="en-US"/>
            </w:rPr>
          </w:pPr>
          <w:hyperlink w:anchor="_Toc47607317" w:history="1">
            <w:r w:rsidR="00587AEA" w:rsidRPr="00531CDA">
              <w:rPr>
                <w:rStyle w:val="Hyperlink"/>
                <w:noProof/>
              </w:rPr>
              <w:t>Table of Contents</w:t>
            </w:r>
            <w:r w:rsidR="00587AEA">
              <w:rPr>
                <w:noProof/>
                <w:webHidden/>
              </w:rPr>
              <w:tab/>
            </w:r>
            <w:r w:rsidR="00587AEA">
              <w:rPr>
                <w:noProof/>
                <w:webHidden/>
              </w:rPr>
              <w:fldChar w:fldCharType="begin"/>
            </w:r>
            <w:r w:rsidR="00587AEA">
              <w:rPr>
                <w:noProof/>
                <w:webHidden/>
              </w:rPr>
              <w:instrText xml:space="preserve"> PAGEREF _Toc47607317 \h </w:instrText>
            </w:r>
            <w:r w:rsidR="00587AEA">
              <w:rPr>
                <w:noProof/>
                <w:webHidden/>
              </w:rPr>
            </w:r>
            <w:r w:rsidR="00587AEA">
              <w:rPr>
                <w:noProof/>
                <w:webHidden/>
              </w:rPr>
              <w:fldChar w:fldCharType="separate"/>
            </w:r>
            <w:r w:rsidR="00587AEA">
              <w:rPr>
                <w:noProof/>
                <w:webHidden/>
              </w:rPr>
              <w:t>1</w:t>
            </w:r>
            <w:r w:rsidR="00587AEA">
              <w:rPr>
                <w:noProof/>
                <w:webHidden/>
              </w:rPr>
              <w:fldChar w:fldCharType="end"/>
            </w:r>
          </w:hyperlink>
        </w:p>
        <w:p w14:paraId="4BB26710" w14:textId="36BC7944" w:rsidR="00587AEA" w:rsidRDefault="0091492A">
          <w:pPr>
            <w:pStyle w:val="TOC2"/>
            <w:tabs>
              <w:tab w:val="right" w:leader="dot" w:pos="9350"/>
            </w:tabs>
            <w:rPr>
              <w:rFonts w:eastAsiaTheme="minorEastAsia" w:cstheme="minorBidi"/>
              <w:b w:val="0"/>
              <w:bCs w:val="0"/>
              <w:noProof/>
              <w:lang w:val="en-US"/>
            </w:rPr>
          </w:pPr>
          <w:hyperlink w:anchor="_Toc47607318" w:history="1">
            <w:r w:rsidR="00587AEA" w:rsidRPr="00531CDA">
              <w:rPr>
                <w:rStyle w:val="Hyperlink"/>
                <w:rFonts w:eastAsiaTheme="minorHAnsi"/>
                <w:noProof/>
              </w:rPr>
              <w:t>1. Background and Justification</w:t>
            </w:r>
            <w:r w:rsidR="00587AEA">
              <w:rPr>
                <w:noProof/>
                <w:webHidden/>
              </w:rPr>
              <w:tab/>
            </w:r>
            <w:r w:rsidR="00587AEA">
              <w:rPr>
                <w:noProof/>
                <w:webHidden/>
              </w:rPr>
              <w:fldChar w:fldCharType="begin"/>
            </w:r>
            <w:r w:rsidR="00587AEA">
              <w:rPr>
                <w:noProof/>
                <w:webHidden/>
              </w:rPr>
              <w:instrText xml:space="preserve"> PAGEREF _Toc47607318 \h </w:instrText>
            </w:r>
            <w:r w:rsidR="00587AEA">
              <w:rPr>
                <w:noProof/>
                <w:webHidden/>
              </w:rPr>
            </w:r>
            <w:r w:rsidR="00587AEA">
              <w:rPr>
                <w:noProof/>
                <w:webHidden/>
              </w:rPr>
              <w:fldChar w:fldCharType="separate"/>
            </w:r>
            <w:r w:rsidR="00587AEA">
              <w:rPr>
                <w:noProof/>
                <w:webHidden/>
              </w:rPr>
              <w:t>2</w:t>
            </w:r>
            <w:r w:rsidR="00587AEA">
              <w:rPr>
                <w:noProof/>
                <w:webHidden/>
              </w:rPr>
              <w:fldChar w:fldCharType="end"/>
            </w:r>
          </w:hyperlink>
        </w:p>
        <w:p w14:paraId="1628ADA7" w14:textId="3B86796F" w:rsidR="00587AEA" w:rsidRDefault="0091492A">
          <w:pPr>
            <w:pStyle w:val="TOC3"/>
            <w:tabs>
              <w:tab w:val="right" w:leader="dot" w:pos="9350"/>
            </w:tabs>
            <w:rPr>
              <w:rFonts w:eastAsiaTheme="minorEastAsia" w:cstheme="minorBidi"/>
              <w:noProof/>
              <w:sz w:val="22"/>
              <w:szCs w:val="22"/>
              <w:lang w:val="en-US"/>
            </w:rPr>
          </w:pPr>
          <w:hyperlink w:anchor="_Toc47607319" w:history="1">
            <w:r w:rsidR="00587AEA" w:rsidRPr="00531CDA">
              <w:rPr>
                <w:rStyle w:val="Hyperlink"/>
                <w:noProof/>
              </w:rPr>
              <w:t>1.1. Introduction</w:t>
            </w:r>
            <w:r w:rsidR="00587AEA">
              <w:rPr>
                <w:noProof/>
                <w:webHidden/>
              </w:rPr>
              <w:tab/>
            </w:r>
            <w:r w:rsidR="00587AEA">
              <w:rPr>
                <w:noProof/>
                <w:webHidden/>
              </w:rPr>
              <w:fldChar w:fldCharType="begin"/>
            </w:r>
            <w:r w:rsidR="00587AEA">
              <w:rPr>
                <w:noProof/>
                <w:webHidden/>
              </w:rPr>
              <w:instrText xml:space="preserve"> PAGEREF _Toc47607319 \h </w:instrText>
            </w:r>
            <w:r w:rsidR="00587AEA">
              <w:rPr>
                <w:noProof/>
                <w:webHidden/>
              </w:rPr>
            </w:r>
            <w:r w:rsidR="00587AEA">
              <w:rPr>
                <w:noProof/>
                <w:webHidden/>
              </w:rPr>
              <w:fldChar w:fldCharType="separate"/>
            </w:r>
            <w:r w:rsidR="00587AEA">
              <w:rPr>
                <w:noProof/>
                <w:webHidden/>
              </w:rPr>
              <w:t>2</w:t>
            </w:r>
            <w:r w:rsidR="00587AEA">
              <w:rPr>
                <w:noProof/>
                <w:webHidden/>
              </w:rPr>
              <w:fldChar w:fldCharType="end"/>
            </w:r>
          </w:hyperlink>
        </w:p>
        <w:p w14:paraId="319A952B" w14:textId="23D16325" w:rsidR="00587AEA" w:rsidRDefault="0091492A">
          <w:pPr>
            <w:pStyle w:val="TOC3"/>
            <w:tabs>
              <w:tab w:val="right" w:leader="dot" w:pos="9350"/>
            </w:tabs>
            <w:rPr>
              <w:rFonts w:eastAsiaTheme="minorEastAsia" w:cstheme="minorBidi"/>
              <w:noProof/>
              <w:sz w:val="22"/>
              <w:szCs w:val="22"/>
              <w:lang w:val="en-US"/>
            </w:rPr>
          </w:pPr>
          <w:hyperlink w:anchor="_Toc47607320" w:history="1">
            <w:r w:rsidR="00587AEA" w:rsidRPr="00531CDA">
              <w:rPr>
                <w:rStyle w:val="Hyperlink"/>
                <w:noProof/>
              </w:rPr>
              <w:t>1.2. Objectives, Components and Cost of Programme</w:t>
            </w:r>
            <w:r w:rsidR="00587AEA">
              <w:rPr>
                <w:noProof/>
                <w:webHidden/>
              </w:rPr>
              <w:tab/>
            </w:r>
            <w:r w:rsidR="00587AEA">
              <w:rPr>
                <w:noProof/>
                <w:webHidden/>
              </w:rPr>
              <w:fldChar w:fldCharType="begin"/>
            </w:r>
            <w:r w:rsidR="00587AEA">
              <w:rPr>
                <w:noProof/>
                <w:webHidden/>
              </w:rPr>
              <w:instrText xml:space="preserve"> PAGEREF _Toc47607320 \h </w:instrText>
            </w:r>
            <w:r w:rsidR="00587AEA">
              <w:rPr>
                <w:noProof/>
                <w:webHidden/>
              </w:rPr>
            </w:r>
            <w:r w:rsidR="00587AEA">
              <w:rPr>
                <w:noProof/>
                <w:webHidden/>
              </w:rPr>
              <w:fldChar w:fldCharType="separate"/>
            </w:r>
            <w:r w:rsidR="00587AEA">
              <w:rPr>
                <w:noProof/>
                <w:webHidden/>
              </w:rPr>
              <w:t>3</w:t>
            </w:r>
            <w:r w:rsidR="00587AEA">
              <w:rPr>
                <w:noProof/>
                <w:webHidden/>
              </w:rPr>
              <w:fldChar w:fldCharType="end"/>
            </w:r>
          </w:hyperlink>
        </w:p>
        <w:p w14:paraId="125960A0" w14:textId="7D84368B" w:rsidR="00587AEA" w:rsidRDefault="0091492A">
          <w:pPr>
            <w:pStyle w:val="TOC3"/>
            <w:tabs>
              <w:tab w:val="right" w:leader="dot" w:pos="9350"/>
            </w:tabs>
            <w:rPr>
              <w:rFonts w:eastAsiaTheme="minorEastAsia" w:cstheme="minorBidi"/>
              <w:noProof/>
              <w:sz w:val="22"/>
              <w:szCs w:val="22"/>
              <w:lang w:val="en-US"/>
            </w:rPr>
          </w:pPr>
          <w:hyperlink w:anchor="_Toc47607321" w:history="1">
            <w:r w:rsidR="00587AEA" w:rsidRPr="00531CDA">
              <w:rPr>
                <w:rStyle w:val="Hyperlink"/>
                <w:rFonts w:eastAsia="Arial"/>
                <w:noProof/>
              </w:rPr>
              <w:t>1.3. Programmatic Policy Based Loan JA-L1080</w:t>
            </w:r>
            <w:r w:rsidR="00587AEA">
              <w:rPr>
                <w:noProof/>
                <w:webHidden/>
              </w:rPr>
              <w:tab/>
            </w:r>
            <w:r w:rsidR="00587AEA">
              <w:rPr>
                <w:noProof/>
                <w:webHidden/>
              </w:rPr>
              <w:fldChar w:fldCharType="begin"/>
            </w:r>
            <w:r w:rsidR="00587AEA">
              <w:rPr>
                <w:noProof/>
                <w:webHidden/>
              </w:rPr>
              <w:instrText xml:space="preserve"> PAGEREF _Toc47607321 \h </w:instrText>
            </w:r>
            <w:r w:rsidR="00587AEA">
              <w:rPr>
                <w:noProof/>
                <w:webHidden/>
              </w:rPr>
            </w:r>
            <w:r w:rsidR="00587AEA">
              <w:rPr>
                <w:noProof/>
                <w:webHidden/>
              </w:rPr>
              <w:fldChar w:fldCharType="separate"/>
            </w:r>
            <w:r w:rsidR="00587AEA">
              <w:rPr>
                <w:noProof/>
                <w:webHidden/>
              </w:rPr>
              <w:t>3</w:t>
            </w:r>
            <w:r w:rsidR="00587AEA">
              <w:rPr>
                <w:noProof/>
                <w:webHidden/>
              </w:rPr>
              <w:fldChar w:fldCharType="end"/>
            </w:r>
          </w:hyperlink>
        </w:p>
        <w:p w14:paraId="09DC90FA" w14:textId="3B72C070" w:rsidR="00587AEA" w:rsidRDefault="0091492A">
          <w:pPr>
            <w:pStyle w:val="TOC3"/>
            <w:tabs>
              <w:tab w:val="right" w:leader="dot" w:pos="9350"/>
            </w:tabs>
            <w:rPr>
              <w:rFonts w:eastAsiaTheme="minorEastAsia" w:cstheme="minorBidi"/>
              <w:noProof/>
              <w:sz w:val="22"/>
              <w:szCs w:val="22"/>
              <w:lang w:val="en-US"/>
            </w:rPr>
          </w:pPr>
          <w:hyperlink w:anchor="_Toc47607322" w:history="1">
            <w:r w:rsidR="00587AEA" w:rsidRPr="00531CDA">
              <w:rPr>
                <w:rStyle w:val="Hyperlink"/>
                <w:rFonts w:eastAsia="Arial"/>
                <w:noProof/>
              </w:rPr>
              <w:t>1.4. Investment Loan JA-L1049</w:t>
            </w:r>
            <w:r w:rsidR="00587AEA">
              <w:rPr>
                <w:noProof/>
                <w:webHidden/>
              </w:rPr>
              <w:tab/>
            </w:r>
            <w:r w:rsidR="00587AEA">
              <w:rPr>
                <w:noProof/>
                <w:webHidden/>
              </w:rPr>
              <w:fldChar w:fldCharType="begin"/>
            </w:r>
            <w:r w:rsidR="00587AEA">
              <w:rPr>
                <w:noProof/>
                <w:webHidden/>
              </w:rPr>
              <w:instrText xml:space="preserve"> PAGEREF _Toc47607322 \h </w:instrText>
            </w:r>
            <w:r w:rsidR="00587AEA">
              <w:rPr>
                <w:noProof/>
                <w:webHidden/>
              </w:rPr>
            </w:r>
            <w:r w:rsidR="00587AEA">
              <w:rPr>
                <w:noProof/>
                <w:webHidden/>
              </w:rPr>
              <w:fldChar w:fldCharType="separate"/>
            </w:r>
            <w:r w:rsidR="00587AEA">
              <w:rPr>
                <w:noProof/>
                <w:webHidden/>
              </w:rPr>
              <w:t>5</w:t>
            </w:r>
            <w:r w:rsidR="00587AEA">
              <w:rPr>
                <w:noProof/>
                <w:webHidden/>
              </w:rPr>
              <w:fldChar w:fldCharType="end"/>
            </w:r>
          </w:hyperlink>
        </w:p>
        <w:p w14:paraId="6DB278CC" w14:textId="015F5B5F" w:rsidR="00587AEA" w:rsidRDefault="0091492A">
          <w:pPr>
            <w:pStyle w:val="TOC2"/>
            <w:tabs>
              <w:tab w:val="right" w:leader="dot" w:pos="9350"/>
            </w:tabs>
            <w:rPr>
              <w:rFonts w:eastAsiaTheme="minorEastAsia" w:cstheme="minorBidi"/>
              <w:b w:val="0"/>
              <w:bCs w:val="0"/>
              <w:noProof/>
              <w:lang w:val="en-US"/>
            </w:rPr>
          </w:pPr>
          <w:hyperlink w:anchor="_Toc47607323" w:history="1">
            <w:r w:rsidR="00587AEA" w:rsidRPr="00531CDA">
              <w:rPr>
                <w:rStyle w:val="Hyperlink"/>
                <w:rFonts w:eastAsiaTheme="minorHAnsi"/>
                <w:noProof/>
              </w:rPr>
              <w:t>2. Objectives of Evaluation</w:t>
            </w:r>
            <w:r w:rsidR="00587AEA">
              <w:rPr>
                <w:noProof/>
                <w:webHidden/>
              </w:rPr>
              <w:tab/>
            </w:r>
            <w:r w:rsidR="00587AEA">
              <w:rPr>
                <w:noProof/>
                <w:webHidden/>
              </w:rPr>
              <w:fldChar w:fldCharType="begin"/>
            </w:r>
            <w:r w:rsidR="00587AEA">
              <w:rPr>
                <w:noProof/>
                <w:webHidden/>
              </w:rPr>
              <w:instrText xml:space="preserve"> PAGEREF _Toc47607323 \h </w:instrText>
            </w:r>
            <w:r w:rsidR="00587AEA">
              <w:rPr>
                <w:noProof/>
                <w:webHidden/>
              </w:rPr>
            </w:r>
            <w:r w:rsidR="00587AEA">
              <w:rPr>
                <w:noProof/>
                <w:webHidden/>
              </w:rPr>
              <w:fldChar w:fldCharType="separate"/>
            </w:r>
            <w:r w:rsidR="00587AEA">
              <w:rPr>
                <w:noProof/>
                <w:webHidden/>
              </w:rPr>
              <w:t>7</w:t>
            </w:r>
            <w:r w:rsidR="00587AEA">
              <w:rPr>
                <w:noProof/>
                <w:webHidden/>
              </w:rPr>
              <w:fldChar w:fldCharType="end"/>
            </w:r>
          </w:hyperlink>
        </w:p>
        <w:p w14:paraId="72D109DD" w14:textId="2AFE062A" w:rsidR="00587AEA" w:rsidRDefault="0091492A">
          <w:pPr>
            <w:pStyle w:val="TOC2"/>
            <w:tabs>
              <w:tab w:val="right" w:leader="dot" w:pos="9350"/>
            </w:tabs>
            <w:rPr>
              <w:rFonts w:eastAsiaTheme="minorEastAsia" w:cstheme="minorBidi"/>
              <w:b w:val="0"/>
              <w:bCs w:val="0"/>
              <w:noProof/>
              <w:lang w:val="en-US"/>
            </w:rPr>
          </w:pPr>
          <w:hyperlink w:anchor="_Toc47607324" w:history="1">
            <w:r w:rsidR="00587AEA" w:rsidRPr="00531CDA">
              <w:rPr>
                <w:rStyle w:val="Hyperlink"/>
                <w:rFonts w:eastAsiaTheme="minorHAnsi"/>
                <w:noProof/>
              </w:rPr>
              <w:t>3. Scope of Services</w:t>
            </w:r>
            <w:r w:rsidR="00587AEA">
              <w:rPr>
                <w:noProof/>
                <w:webHidden/>
              </w:rPr>
              <w:tab/>
            </w:r>
            <w:r w:rsidR="00587AEA">
              <w:rPr>
                <w:noProof/>
                <w:webHidden/>
              </w:rPr>
              <w:fldChar w:fldCharType="begin"/>
            </w:r>
            <w:r w:rsidR="00587AEA">
              <w:rPr>
                <w:noProof/>
                <w:webHidden/>
              </w:rPr>
              <w:instrText xml:space="preserve"> PAGEREF _Toc47607324 \h </w:instrText>
            </w:r>
            <w:r w:rsidR="00587AEA">
              <w:rPr>
                <w:noProof/>
                <w:webHidden/>
              </w:rPr>
            </w:r>
            <w:r w:rsidR="00587AEA">
              <w:rPr>
                <w:noProof/>
                <w:webHidden/>
              </w:rPr>
              <w:fldChar w:fldCharType="separate"/>
            </w:r>
            <w:r w:rsidR="00587AEA">
              <w:rPr>
                <w:noProof/>
                <w:webHidden/>
              </w:rPr>
              <w:t>8</w:t>
            </w:r>
            <w:r w:rsidR="00587AEA">
              <w:rPr>
                <w:noProof/>
                <w:webHidden/>
              </w:rPr>
              <w:fldChar w:fldCharType="end"/>
            </w:r>
          </w:hyperlink>
        </w:p>
        <w:p w14:paraId="587468E2" w14:textId="28878ECC" w:rsidR="00587AEA" w:rsidRDefault="0091492A">
          <w:pPr>
            <w:pStyle w:val="TOC3"/>
            <w:tabs>
              <w:tab w:val="right" w:leader="dot" w:pos="9350"/>
            </w:tabs>
            <w:rPr>
              <w:rFonts w:eastAsiaTheme="minorEastAsia" w:cstheme="minorBidi"/>
              <w:noProof/>
              <w:sz w:val="22"/>
              <w:szCs w:val="22"/>
              <w:lang w:val="en-US"/>
            </w:rPr>
          </w:pPr>
          <w:hyperlink w:anchor="_Toc47607325" w:history="1">
            <w:r w:rsidR="00587AEA" w:rsidRPr="00531CDA">
              <w:rPr>
                <w:rStyle w:val="Hyperlink"/>
                <w:noProof/>
              </w:rPr>
              <w:t>3.1. Evaluation design</w:t>
            </w:r>
            <w:r w:rsidR="00587AEA">
              <w:rPr>
                <w:noProof/>
                <w:webHidden/>
              </w:rPr>
              <w:tab/>
            </w:r>
            <w:r w:rsidR="00587AEA">
              <w:rPr>
                <w:noProof/>
                <w:webHidden/>
              </w:rPr>
              <w:fldChar w:fldCharType="begin"/>
            </w:r>
            <w:r w:rsidR="00587AEA">
              <w:rPr>
                <w:noProof/>
                <w:webHidden/>
              </w:rPr>
              <w:instrText xml:space="preserve"> PAGEREF _Toc47607325 \h </w:instrText>
            </w:r>
            <w:r w:rsidR="00587AEA">
              <w:rPr>
                <w:noProof/>
                <w:webHidden/>
              </w:rPr>
            </w:r>
            <w:r w:rsidR="00587AEA">
              <w:rPr>
                <w:noProof/>
                <w:webHidden/>
              </w:rPr>
              <w:fldChar w:fldCharType="separate"/>
            </w:r>
            <w:r w:rsidR="00587AEA">
              <w:rPr>
                <w:noProof/>
                <w:webHidden/>
              </w:rPr>
              <w:t>8</w:t>
            </w:r>
            <w:r w:rsidR="00587AEA">
              <w:rPr>
                <w:noProof/>
                <w:webHidden/>
              </w:rPr>
              <w:fldChar w:fldCharType="end"/>
            </w:r>
          </w:hyperlink>
        </w:p>
        <w:p w14:paraId="04E87AD9" w14:textId="1DB338E1" w:rsidR="00587AEA" w:rsidRDefault="0091492A">
          <w:pPr>
            <w:pStyle w:val="TOC2"/>
            <w:tabs>
              <w:tab w:val="right" w:leader="dot" w:pos="9350"/>
            </w:tabs>
            <w:rPr>
              <w:rFonts w:eastAsiaTheme="minorEastAsia" w:cstheme="minorBidi"/>
              <w:b w:val="0"/>
              <w:bCs w:val="0"/>
              <w:noProof/>
              <w:lang w:val="en-US"/>
            </w:rPr>
          </w:pPr>
          <w:hyperlink w:anchor="_Toc47607326" w:history="1">
            <w:r w:rsidR="00587AEA" w:rsidRPr="00531CDA">
              <w:rPr>
                <w:rStyle w:val="Hyperlink"/>
                <w:rFonts w:eastAsiaTheme="minorHAnsi"/>
                <w:noProof/>
              </w:rPr>
              <w:t>4. Key Activities</w:t>
            </w:r>
            <w:r w:rsidR="00587AEA">
              <w:rPr>
                <w:noProof/>
                <w:webHidden/>
              </w:rPr>
              <w:tab/>
            </w:r>
            <w:r w:rsidR="00587AEA">
              <w:rPr>
                <w:noProof/>
                <w:webHidden/>
              </w:rPr>
              <w:fldChar w:fldCharType="begin"/>
            </w:r>
            <w:r w:rsidR="00587AEA">
              <w:rPr>
                <w:noProof/>
                <w:webHidden/>
              </w:rPr>
              <w:instrText xml:space="preserve"> PAGEREF _Toc47607326 \h </w:instrText>
            </w:r>
            <w:r w:rsidR="00587AEA">
              <w:rPr>
                <w:noProof/>
                <w:webHidden/>
              </w:rPr>
            </w:r>
            <w:r w:rsidR="00587AEA">
              <w:rPr>
                <w:noProof/>
                <w:webHidden/>
              </w:rPr>
              <w:fldChar w:fldCharType="separate"/>
            </w:r>
            <w:r w:rsidR="00587AEA">
              <w:rPr>
                <w:noProof/>
                <w:webHidden/>
              </w:rPr>
              <w:t>9</w:t>
            </w:r>
            <w:r w:rsidR="00587AEA">
              <w:rPr>
                <w:noProof/>
                <w:webHidden/>
              </w:rPr>
              <w:fldChar w:fldCharType="end"/>
            </w:r>
          </w:hyperlink>
        </w:p>
        <w:p w14:paraId="65BD9B04" w14:textId="500311D9" w:rsidR="00587AEA" w:rsidRDefault="0091492A">
          <w:pPr>
            <w:pStyle w:val="TOC2"/>
            <w:tabs>
              <w:tab w:val="right" w:leader="dot" w:pos="9350"/>
            </w:tabs>
            <w:rPr>
              <w:rFonts w:eastAsiaTheme="minorEastAsia" w:cstheme="minorBidi"/>
              <w:b w:val="0"/>
              <w:bCs w:val="0"/>
              <w:noProof/>
              <w:lang w:val="en-US"/>
            </w:rPr>
          </w:pPr>
          <w:hyperlink w:anchor="_Toc47607327" w:history="1">
            <w:r w:rsidR="00587AEA" w:rsidRPr="00531CDA">
              <w:rPr>
                <w:rStyle w:val="Hyperlink"/>
                <w:noProof/>
              </w:rPr>
              <w:t>5.  Reports / Deliverables</w:t>
            </w:r>
            <w:r w:rsidR="00587AEA">
              <w:rPr>
                <w:noProof/>
                <w:webHidden/>
              </w:rPr>
              <w:tab/>
            </w:r>
            <w:r w:rsidR="00587AEA">
              <w:rPr>
                <w:noProof/>
                <w:webHidden/>
              </w:rPr>
              <w:fldChar w:fldCharType="begin"/>
            </w:r>
            <w:r w:rsidR="00587AEA">
              <w:rPr>
                <w:noProof/>
                <w:webHidden/>
              </w:rPr>
              <w:instrText xml:space="preserve"> PAGEREF _Toc47607327 \h </w:instrText>
            </w:r>
            <w:r w:rsidR="00587AEA">
              <w:rPr>
                <w:noProof/>
                <w:webHidden/>
              </w:rPr>
            </w:r>
            <w:r w:rsidR="00587AEA">
              <w:rPr>
                <w:noProof/>
                <w:webHidden/>
              </w:rPr>
              <w:fldChar w:fldCharType="separate"/>
            </w:r>
            <w:r w:rsidR="00587AEA">
              <w:rPr>
                <w:noProof/>
                <w:webHidden/>
              </w:rPr>
              <w:t>10</w:t>
            </w:r>
            <w:r w:rsidR="00587AEA">
              <w:rPr>
                <w:noProof/>
                <w:webHidden/>
              </w:rPr>
              <w:fldChar w:fldCharType="end"/>
            </w:r>
          </w:hyperlink>
        </w:p>
        <w:p w14:paraId="35F0CD88" w14:textId="0F06CF7A" w:rsidR="00587AEA" w:rsidRDefault="0091492A">
          <w:pPr>
            <w:pStyle w:val="TOC2"/>
            <w:tabs>
              <w:tab w:val="right" w:leader="dot" w:pos="9350"/>
            </w:tabs>
            <w:rPr>
              <w:rFonts w:eastAsiaTheme="minorEastAsia" w:cstheme="minorBidi"/>
              <w:b w:val="0"/>
              <w:bCs w:val="0"/>
              <w:noProof/>
              <w:lang w:val="en-US"/>
            </w:rPr>
          </w:pPr>
          <w:hyperlink w:anchor="_Toc47607328" w:history="1">
            <w:r w:rsidR="00587AEA" w:rsidRPr="00531CDA">
              <w:rPr>
                <w:rStyle w:val="Hyperlink"/>
                <w:rFonts w:eastAsiaTheme="minorHAnsi"/>
                <w:noProof/>
              </w:rPr>
              <w:t>6. Project Schedule and Milestones</w:t>
            </w:r>
            <w:r w:rsidR="00587AEA">
              <w:rPr>
                <w:noProof/>
                <w:webHidden/>
              </w:rPr>
              <w:tab/>
            </w:r>
            <w:r w:rsidR="00587AEA">
              <w:rPr>
                <w:noProof/>
                <w:webHidden/>
              </w:rPr>
              <w:fldChar w:fldCharType="begin"/>
            </w:r>
            <w:r w:rsidR="00587AEA">
              <w:rPr>
                <w:noProof/>
                <w:webHidden/>
              </w:rPr>
              <w:instrText xml:space="preserve"> PAGEREF _Toc47607328 \h </w:instrText>
            </w:r>
            <w:r w:rsidR="00587AEA">
              <w:rPr>
                <w:noProof/>
                <w:webHidden/>
              </w:rPr>
            </w:r>
            <w:r w:rsidR="00587AEA">
              <w:rPr>
                <w:noProof/>
                <w:webHidden/>
              </w:rPr>
              <w:fldChar w:fldCharType="separate"/>
            </w:r>
            <w:r w:rsidR="00587AEA">
              <w:rPr>
                <w:noProof/>
                <w:webHidden/>
              </w:rPr>
              <w:t>11</w:t>
            </w:r>
            <w:r w:rsidR="00587AEA">
              <w:rPr>
                <w:noProof/>
                <w:webHidden/>
              </w:rPr>
              <w:fldChar w:fldCharType="end"/>
            </w:r>
          </w:hyperlink>
        </w:p>
        <w:p w14:paraId="7209B584" w14:textId="0A16708F" w:rsidR="00587AEA" w:rsidRDefault="0091492A">
          <w:pPr>
            <w:pStyle w:val="TOC3"/>
            <w:tabs>
              <w:tab w:val="right" w:leader="dot" w:pos="9350"/>
            </w:tabs>
            <w:rPr>
              <w:rFonts w:eastAsiaTheme="minorEastAsia" w:cstheme="minorBidi"/>
              <w:noProof/>
              <w:sz w:val="22"/>
              <w:szCs w:val="22"/>
              <w:lang w:val="en-US"/>
            </w:rPr>
          </w:pPr>
          <w:hyperlink w:anchor="_Toc47607329" w:history="1">
            <w:r w:rsidR="00587AEA" w:rsidRPr="00531CDA">
              <w:rPr>
                <w:rStyle w:val="Hyperlink"/>
                <w:noProof/>
              </w:rPr>
              <w:t>6.1 Evaluation Timelines-</w:t>
            </w:r>
            <w:r w:rsidR="00587AEA">
              <w:rPr>
                <w:noProof/>
                <w:webHidden/>
              </w:rPr>
              <w:tab/>
            </w:r>
            <w:r w:rsidR="00587AEA">
              <w:rPr>
                <w:noProof/>
                <w:webHidden/>
              </w:rPr>
              <w:fldChar w:fldCharType="begin"/>
            </w:r>
            <w:r w:rsidR="00587AEA">
              <w:rPr>
                <w:noProof/>
                <w:webHidden/>
              </w:rPr>
              <w:instrText xml:space="preserve"> PAGEREF _Toc47607329 \h </w:instrText>
            </w:r>
            <w:r w:rsidR="00587AEA">
              <w:rPr>
                <w:noProof/>
                <w:webHidden/>
              </w:rPr>
            </w:r>
            <w:r w:rsidR="00587AEA">
              <w:rPr>
                <w:noProof/>
                <w:webHidden/>
              </w:rPr>
              <w:fldChar w:fldCharType="separate"/>
            </w:r>
            <w:r w:rsidR="00587AEA">
              <w:rPr>
                <w:noProof/>
                <w:webHidden/>
              </w:rPr>
              <w:t>11</w:t>
            </w:r>
            <w:r w:rsidR="00587AEA">
              <w:rPr>
                <w:noProof/>
                <w:webHidden/>
              </w:rPr>
              <w:fldChar w:fldCharType="end"/>
            </w:r>
          </w:hyperlink>
        </w:p>
        <w:p w14:paraId="7985845B" w14:textId="4EB02742" w:rsidR="00587AEA" w:rsidRDefault="0091492A">
          <w:pPr>
            <w:pStyle w:val="TOC3"/>
            <w:tabs>
              <w:tab w:val="right" w:leader="dot" w:pos="9350"/>
            </w:tabs>
            <w:rPr>
              <w:rFonts w:eastAsiaTheme="minorEastAsia" w:cstheme="minorBidi"/>
              <w:noProof/>
              <w:sz w:val="22"/>
              <w:szCs w:val="22"/>
              <w:lang w:val="en-US"/>
            </w:rPr>
          </w:pPr>
          <w:hyperlink w:anchor="_Toc47607330" w:history="1">
            <w:r w:rsidR="00587AEA" w:rsidRPr="00531CDA">
              <w:rPr>
                <w:rStyle w:val="Hyperlink"/>
                <w:rFonts w:eastAsiaTheme="minorHAnsi"/>
                <w:noProof/>
              </w:rPr>
              <w:t>6.2 Reporting Requirements</w:t>
            </w:r>
            <w:r w:rsidR="00587AEA">
              <w:rPr>
                <w:noProof/>
                <w:webHidden/>
              </w:rPr>
              <w:tab/>
            </w:r>
            <w:r w:rsidR="00587AEA">
              <w:rPr>
                <w:noProof/>
                <w:webHidden/>
              </w:rPr>
              <w:fldChar w:fldCharType="begin"/>
            </w:r>
            <w:r w:rsidR="00587AEA">
              <w:rPr>
                <w:noProof/>
                <w:webHidden/>
              </w:rPr>
              <w:instrText xml:space="preserve"> PAGEREF _Toc47607330 \h </w:instrText>
            </w:r>
            <w:r w:rsidR="00587AEA">
              <w:rPr>
                <w:noProof/>
                <w:webHidden/>
              </w:rPr>
            </w:r>
            <w:r w:rsidR="00587AEA">
              <w:rPr>
                <w:noProof/>
                <w:webHidden/>
              </w:rPr>
              <w:fldChar w:fldCharType="separate"/>
            </w:r>
            <w:r w:rsidR="00587AEA">
              <w:rPr>
                <w:noProof/>
                <w:webHidden/>
              </w:rPr>
              <w:t>11</w:t>
            </w:r>
            <w:r w:rsidR="00587AEA">
              <w:rPr>
                <w:noProof/>
                <w:webHidden/>
              </w:rPr>
              <w:fldChar w:fldCharType="end"/>
            </w:r>
          </w:hyperlink>
        </w:p>
        <w:p w14:paraId="12339D8F" w14:textId="607BC0F2" w:rsidR="00587AEA" w:rsidRDefault="0091492A">
          <w:pPr>
            <w:pStyle w:val="TOC2"/>
            <w:tabs>
              <w:tab w:val="right" w:leader="dot" w:pos="9350"/>
            </w:tabs>
            <w:rPr>
              <w:rFonts w:eastAsiaTheme="minorEastAsia" w:cstheme="minorBidi"/>
              <w:b w:val="0"/>
              <w:bCs w:val="0"/>
              <w:noProof/>
              <w:lang w:val="en-US"/>
            </w:rPr>
          </w:pPr>
          <w:hyperlink w:anchor="_Toc47607331" w:history="1">
            <w:r w:rsidR="00587AEA" w:rsidRPr="00531CDA">
              <w:rPr>
                <w:rStyle w:val="Hyperlink"/>
                <w:noProof/>
              </w:rPr>
              <w:t>7. What you will need:</w:t>
            </w:r>
            <w:r w:rsidR="00587AEA">
              <w:rPr>
                <w:noProof/>
                <w:webHidden/>
              </w:rPr>
              <w:tab/>
            </w:r>
            <w:r w:rsidR="00587AEA">
              <w:rPr>
                <w:noProof/>
                <w:webHidden/>
              </w:rPr>
              <w:fldChar w:fldCharType="begin"/>
            </w:r>
            <w:r w:rsidR="00587AEA">
              <w:rPr>
                <w:noProof/>
                <w:webHidden/>
              </w:rPr>
              <w:instrText xml:space="preserve"> PAGEREF _Toc47607331 \h </w:instrText>
            </w:r>
            <w:r w:rsidR="00587AEA">
              <w:rPr>
                <w:noProof/>
                <w:webHidden/>
              </w:rPr>
            </w:r>
            <w:r w:rsidR="00587AEA">
              <w:rPr>
                <w:noProof/>
                <w:webHidden/>
              </w:rPr>
              <w:fldChar w:fldCharType="separate"/>
            </w:r>
            <w:r w:rsidR="00587AEA">
              <w:rPr>
                <w:noProof/>
                <w:webHidden/>
              </w:rPr>
              <w:t>12</w:t>
            </w:r>
            <w:r w:rsidR="00587AEA">
              <w:rPr>
                <w:noProof/>
                <w:webHidden/>
              </w:rPr>
              <w:fldChar w:fldCharType="end"/>
            </w:r>
          </w:hyperlink>
        </w:p>
        <w:p w14:paraId="61302C39" w14:textId="73F628E4" w:rsidR="00587AEA" w:rsidRDefault="0091492A">
          <w:pPr>
            <w:pStyle w:val="TOC2"/>
            <w:tabs>
              <w:tab w:val="right" w:leader="dot" w:pos="9350"/>
            </w:tabs>
            <w:rPr>
              <w:rFonts w:eastAsiaTheme="minorEastAsia" w:cstheme="minorBidi"/>
              <w:b w:val="0"/>
              <w:bCs w:val="0"/>
              <w:noProof/>
              <w:lang w:val="en-US"/>
            </w:rPr>
          </w:pPr>
          <w:hyperlink w:anchor="_Toc47607332" w:history="1">
            <w:r w:rsidR="00587AEA" w:rsidRPr="00531CDA">
              <w:rPr>
                <w:rStyle w:val="Hyperlink"/>
                <w:noProof/>
              </w:rPr>
              <w:t>9. Characteristics of the Consultancy</w:t>
            </w:r>
            <w:r w:rsidR="00587AEA">
              <w:rPr>
                <w:noProof/>
                <w:webHidden/>
              </w:rPr>
              <w:tab/>
            </w:r>
            <w:r w:rsidR="00587AEA">
              <w:rPr>
                <w:noProof/>
                <w:webHidden/>
              </w:rPr>
              <w:fldChar w:fldCharType="begin"/>
            </w:r>
            <w:r w:rsidR="00587AEA">
              <w:rPr>
                <w:noProof/>
                <w:webHidden/>
              </w:rPr>
              <w:instrText xml:space="preserve"> PAGEREF _Toc47607332 \h </w:instrText>
            </w:r>
            <w:r w:rsidR="00587AEA">
              <w:rPr>
                <w:noProof/>
                <w:webHidden/>
              </w:rPr>
            </w:r>
            <w:r w:rsidR="00587AEA">
              <w:rPr>
                <w:noProof/>
                <w:webHidden/>
              </w:rPr>
              <w:fldChar w:fldCharType="separate"/>
            </w:r>
            <w:r w:rsidR="00587AEA">
              <w:rPr>
                <w:noProof/>
                <w:webHidden/>
              </w:rPr>
              <w:t>12</w:t>
            </w:r>
            <w:r w:rsidR="00587AEA">
              <w:rPr>
                <w:noProof/>
                <w:webHidden/>
              </w:rPr>
              <w:fldChar w:fldCharType="end"/>
            </w:r>
          </w:hyperlink>
        </w:p>
        <w:p w14:paraId="101D662B" w14:textId="1941B7A5" w:rsidR="00587AEA" w:rsidRDefault="0091492A">
          <w:pPr>
            <w:pStyle w:val="TOC2"/>
            <w:tabs>
              <w:tab w:val="right" w:leader="dot" w:pos="9350"/>
            </w:tabs>
            <w:rPr>
              <w:rFonts w:eastAsiaTheme="minorEastAsia" w:cstheme="minorBidi"/>
              <w:b w:val="0"/>
              <w:bCs w:val="0"/>
              <w:noProof/>
              <w:lang w:val="en-US"/>
            </w:rPr>
          </w:pPr>
          <w:hyperlink w:anchor="_Toc47607333" w:history="1">
            <w:r w:rsidR="00587AEA" w:rsidRPr="00531CDA">
              <w:rPr>
                <w:rStyle w:val="Hyperlink"/>
                <w:rFonts w:eastAsiaTheme="minorHAnsi"/>
                <w:noProof/>
              </w:rPr>
              <w:t>Annex A.</w:t>
            </w:r>
            <w:r w:rsidR="00587AEA">
              <w:rPr>
                <w:noProof/>
                <w:webHidden/>
              </w:rPr>
              <w:tab/>
            </w:r>
            <w:r w:rsidR="00587AEA">
              <w:rPr>
                <w:noProof/>
                <w:webHidden/>
              </w:rPr>
              <w:fldChar w:fldCharType="begin"/>
            </w:r>
            <w:r w:rsidR="00587AEA">
              <w:rPr>
                <w:noProof/>
                <w:webHidden/>
              </w:rPr>
              <w:instrText xml:space="preserve"> PAGEREF _Toc47607333 \h </w:instrText>
            </w:r>
            <w:r w:rsidR="00587AEA">
              <w:rPr>
                <w:noProof/>
                <w:webHidden/>
              </w:rPr>
            </w:r>
            <w:r w:rsidR="00587AEA">
              <w:rPr>
                <w:noProof/>
                <w:webHidden/>
              </w:rPr>
              <w:fldChar w:fldCharType="separate"/>
            </w:r>
            <w:r w:rsidR="00587AEA">
              <w:rPr>
                <w:noProof/>
                <w:webHidden/>
              </w:rPr>
              <w:t>13</w:t>
            </w:r>
            <w:r w:rsidR="00587AEA">
              <w:rPr>
                <w:noProof/>
                <w:webHidden/>
              </w:rPr>
              <w:fldChar w:fldCharType="end"/>
            </w:r>
          </w:hyperlink>
        </w:p>
        <w:p w14:paraId="52E542D5" w14:textId="089C482C" w:rsidR="00587AEA" w:rsidRDefault="0091492A">
          <w:pPr>
            <w:pStyle w:val="TOC3"/>
            <w:tabs>
              <w:tab w:val="right" w:leader="dot" w:pos="9350"/>
            </w:tabs>
            <w:rPr>
              <w:rFonts w:eastAsiaTheme="minorEastAsia" w:cstheme="minorBidi"/>
              <w:noProof/>
              <w:sz w:val="22"/>
              <w:szCs w:val="22"/>
              <w:lang w:val="en-US"/>
            </w:rPr>
          </w:pPr>
          <w:hyperlink w:anchor="_Toc47607334" w:history="1">
            <w:r w:rsidR="00587AEA" w:rsidRPr="00531CDA">
              <w:rPr>
                <w:rStyle w:val="Hyperlink"/>
                <w:noProof/>
              </w:rPr>
              <w:t>Impact Evaluation: Existing evidence base</w:t>
            </w:r>
            <w:r w:rsidR="00587AEA">
              <w:rPr>
                <w:noProof/>
                <w:webHidden/>
              </w:rPr>
              <w:tab/>
            </w:r>
            <w:r w:rsidR="00587AEA">
              <w:rPr>
                <w:noProof/>
                <w:webHidden/>
              </w:rPr>
              <w:fldChar w:fldCharType="begin"/>
            </w:r>
            <w:r w:rsidR="00587AEA">
              <w:rPr>
                <w:noProof/>
                <w:webHidden/>
              </w:rPr>
              <w:instrText xml:space="preserve"> PAGEREF _Toc47607334 \h </w:instrText>
            </w:r>
            <w:r w:rsidR="00587AEA">
              <w:rPr>
                <w:noProof/>
                <w:webHidden/>
              </w:rPr>
            </w:r>
            <w:r w:rsidR="00587AEA">
              <w:rPr>
                <w:noProof/>
                <w:webHidden/>
              </w:rPr>
              <w:fldChar w:fldCharType="separate"/>
            </w:r>
            <w:r w:rsidR="00587AEA">
              <w:rPr>
                <w:noProof/>
                <w:webHidden/>
              </w:rPr>
              <w:t>13</w:t>
            </w:r>
            <w:r w:rsidR="00587AEA">
              <w:rPr>
                <w:noProof/>
                <w:webHidden/>
              </w:rPr>
              <w:fldChar w:fldCharType="end"/>
            </w:r>
          </w:hyperlink>
        </w:p>
        <w:p w14:paraId="4041BC99" w14:textId="6B276D34" w:rsidR="00587AEA" w:rsidRDefault="0091492A">
          <w:pPr>
            <w:pStyle w:val="TOC3"/>
            <w:tabs>
              <w:tab w:val="right" w:leader="dot" w:pos="9350"/>
            </w:tabs>
            <w:rPr>
              <w:rFonts w:eastAsiaTheme="minorEastAsia" w:cstheme="minorBidi"/>
              <w:noProof/>
              <w:sz w:val="22"/>
              <w:szCs w:val="22"/>
              <w:lang w:val="en-US"/>
            </w:rPr>
          </w:pPr>
          <w:hyperlink w:anchor="_Toc47607335" w:history="1">
            <w:r w:rsidR="00587AEA" w:rsidRPr="00531CDA">
              <w:rPr>
                <w:rStyle w:val="Hyperlink"/>
                <w:noProof/>
              </w:rPr>
              <w:t>Evaluation Methodology</w:t>
            </w:r>
            <w:r w:rsidR="00587AEA">
              <w:rPr>
                <w:noProof/>
                <w:webHidden/>
              </w:rPr>
              <w:tab/>
            </w:r>
            <w:r w:rsidR="00587AEA">
              <w:rPr>
                <w:noProof/>
                <w:webHidden/>
              </w:rPr>
              <w:fldChar w:fldCharType="begin"/>
            </w:r>
            <w:r w:rsidR="00587AEA">
              <w:rPr>
                <w:noProof/>
                <w:webHidden/>
              </w:rPr>
              <w:instrText xml:space="preserve"> PAGEREF _Toc47607335 \h </w:instrText>
            </w:r>
            <w:r w:rsidR="00587AEA">
              <w:rPr>
                <w:noProof/>
                <w:webHidden/>
              </w:rPr>
            </w:r>
            <w:r w:rsidR="00587AEA">
              <w:rPr>
                <w:noProof/>
                <w:webHidden/>
              </w:rPr>
              <w:fldChar w:fldCharType="separate"/>
            </w:r>
            <w:r w:rsidR="00587AEA">
              <w:rPr>
                <w:noProof/>
                <w:webHidden/>
              </w:rPr>
              <w:t>14</w:t>
            </w:r>
            <w:r w:rsidR="00587AEA">
              <w:rPr>
                <w:noProof/>
                <w:webHidden/>
              </w:rPr>
              <w:fldChar w:fldCharType="end"/>
            </w:r>
          </w:hyperlink>
        </w:p>
        <w:p w14:paraId="34ECFD8B" w14:textId="77DD21AB" w:rsidR="00587AEA" w:rsidRDefault="0091492A">
          <w:pPr>
            <w:pStyle w:val="TOC3"/>
            <w:tabs>
              <w:tab w:val="right" w:leader="dot" w:pos="9350"/>
            </w:tabs>
            <w:rPr>
              <w:rFonts w:eastAsiaTheme="minorEastAsia" w:cstheme="minorBidi"/>
              <w:noProof/>
              <w:sz w:val="22"/>
              <w:szCs w:val="22"/>
              <w:lang w:val="en-US"/>
            </w:rPr>
          </w:pPr>
          <w:hyperlink w:anchor="_Toc47607336" w:history="1">
            <w:r w:rsidR="00587AEA" w:rsidRPr="00531CDA">
              <w:rPr>
                <w:rStyle w:val="Hyperlink"/>
                <w:noProof/>
              </w:rPr>
              <w:t>Sample Selection and Statistical Power</w:t>
            </w:r>
            <w:r w:rsidR="00587AEA">
              <w:rPr>
                <w:noProof/>
                <w:webHidden/>
              </w:rPr>
              <w:tab/>
            </w:r>
            <w:r w:rsidR="00587AEA">
              <w:rPr>
                <w:noProof/>
                <w:webHidden/>
              </w:rPr>
              <w:fldChar w:fldCharType="begin"/>
            </w:r>
            <w:r w:rsidR="00587AEA">
              <w:rPr>
                <w:noProof/>
                <w:webHidden/>
              </w:rPr>
              <w:instrText xml:space="preserve"> PAGEREF _Toc47607336 \h </w:instrText>
            </w:r>
            <w:r w:rsidR="00587AEA">
              <w:rPr>
                <w:noProof/>
                <w:webHidden/>
              </w:rPr>
            </w:r>
            <w:r w:rsidR="00587AEA">
              <w:rPr>
                <w:noProof/>
                <w:webHidden/>
              </w:rPr>
              <w:fldChar w:fldCharType="separate"/>
            </w:r>
            <w:r w:rsidR="00587AEA">
              <w:rPr>
                <w:noProof/>
                <w:webHidden/>
              </w:rPr>
              <w:t>15</w:t>
            </w:r>
            <w:r w:rsidR="00587AEA">
              <w:rPr>
                <w:noProof/>
                <w:webHidden/>
              </w:rPr>
              <w:fldChar w:fldCharType="end"/>
            </w:r>
          </w:hyperlink>
        </w:p>
        <w:p w14:paraId="00D12BC3" w14:textId="02C78DAC" w:rsidR="00437D1C" w:rsidRPr="001255E6" w:rsidRDefault="00437D1C">
          <w:r w:rsidRPr="001255E6">
            <w:rPr>
              <w:b/>
              <w:bCs/>
            </w:rPr>
            <w:fldChar w:fldCharType="end"/>
          </w:r>
        </w:p>
      </w:sdtContent>
    </w:sdt>
    <w:p w14:paraId="00994D50" w14:textId="7E4C4AAE" w:rsidR="00AE6A79" w:rsidRPr="001255E6" w:rsidRDefault="00AE6A79">
      <w:pPr>
        <w:suppressAutoHyphens w:val="0"/>
        <w:spacing w:before="0" w:after="200" w:line="276" w:lineRule="auto"/>
        <w:jc w:val="left"/>
        <w:rPr>
          <w:rFonts w:cs="Arial"/>
          <w:iCs/>
          <w:color w:val="0070C0"/>
          <w:sz w:val="20"/>
          <w:szCs w:val="24"/>
        </w:rPr>
      </w:pPr>
      <w:r w:rsidRPr="001255E6">
        <w:rPr>
          <w:rFonts w:cs="Arial"/>
          <w:iCs/>
          <w:color w:val="0070C0"/>
          <w:sz w:val="20"/>
          <w:szCs w:val="24"/>
        </w:rPr>
        <w:br w:type="page"/>
      </w:r>
    </w:p>
    <w:p w14:paraId="4FD9ED9F" w14:textId="77777777" w:rsidR="00437D1C" w:rsidRPr="001255E6" w:rsidRDefault="00437D1C" w:rsidP="00A40D0E">
      <w:pPr>
        <w:pStyle w:val="BodyText"/>
        <w:rPr>
          <w:rFonts w:cs="Arial"/>
          <w:iCs/>
          <w:color w:val="0070C0"/>
          <w:sz w:val="20"/>
          <w:szCs w:val="24"/>
        </w:rPr>
      </w:pPr>
    </w:p>
    <w:p w14:paraId="66591636" w14:textId="6379D55A" w:rsidR="00A27784" w:rsidRPr="001255E6" w:rsidRDefault="002D0A4A" w:rsidP="008E2E14">
      <w:pPr>
        <w:pStyle w:val="Heading2"/>
        <w:rPr>
          <w:rFonts w:eastAsiaTheme="minorHAnsi"/>
        </w:rPr>
      </w:pPr>
      <w:bookmarkStart w:id="6" w:name="_Toc47607318"/>
      <w:r w:rsidRPr="001255E6">
        <w:rPr>
          <w:rFonts w:eastAsiaTheme="minorHAnsi"/>
        </w:rPr>
        <w:t xml:space="preserve">1. </w:t>
      </w:r>
      <w:r w:rsidR="00A27784" w:rsidRPr="001255E6">
        <w:rPr>
          <w:rFonts w:eastAsiaTheme="minorHAnsi"/>
        </w:rPr>
        <w:t>Background and Justification</w:t>
      </w:r>
      <w:bookmarkEnd w:id="6"/>
    </w:p>
    <w:p w14:paraId="2C90B662" w14:textId="67587B1D" w:rsidR="00415320" w:rsidRPr="001255E6" w:rsidRDefault="006E4224" w:rsidP="00BC256B">
      <w:pPr>
        <w:pStyle w:val="Heading3"/>
      </w:pPr>
      <w:bookmarkStart w:id="7" w:name="_Toc519094804"/>
      <w:bookmarkStart w:id="8" w:name="_Toc47607319"/>
      <w:r w:rsidRPr="001255E6">
        <w:t xml:space="preserve">1.1. </w:t>
      </w:r>
      <w:r w:rsidR="00415320" w:rsidRPr="001255E6">
        <w:t>Introduction</w:t>
      </w:r>
      <w:bookmarkEnd w:id="7"/>
      <w:bookmarkEnd w:id="8"/>
    </w:p>
    <w:p w14:paraId="46B18C3E" w14:textId="2EF63A2C" w:rsidR="00415320" w:rsidRPr="00D32E2D" w:rsidRDefault="00415320" w:rsidP="00437D1C">
      <w:pPr>
        <w:rPr>
          <w:rFonts w:eastAsiaTheme="minorHAnsi"/>
        </w:rPr>
      </w:pPr>
      <w:r w:rsidRPr="001255E6">
        <w:t xml:space="preserve">The Support for the Health System Strengthening Programme for the Prevention and Care Management of Non-Communicable Diseases (JA-L1049; JA-L1080) </w:t>
      </w:r>
      <w:r w:rsidR="003E7D9F" w:rsidRPr="001255E6">
        <w:t xml:space="preserve">is an IDB funded initiative that commenced in December 2018. The Programme’s </w:t>
      </w:r>
      <w:r w:rsidRPr="001255E6">
        <w:rPr>
          <w:rFonts w:eastAsia="Arial"/>
        </w:rPr>
        <w:t xml:space="preserve">objective </w:t>
      </w:r>
      <w:r w:rsidR="003E7D9F" w:rsidRPr="001255E6">
        <w:rPr>
          <w:rFonts w:eastAsia="Arial"/>
        </w:rPr>
        <w:t xml:space="preserve">is </w:t>
      </w:r>
      <w:r w:rsidRPr="001255E6">
        <w:rPr>
          <w:rFonts w:eastAsia="Arial"/>
        </w:rPr>
        <w:t xml:space="preserve">to </w:t>
      </w:r>
      <w:r w:rsidR="00140F1A" w:rsidRPr="001255E6">
        <w:rPr>
          <w:rFonts w:eastAsia="Arial"/>
        </w:rPr>
        <w:t>improve the</w:t>
      </w:r>
      <w:r w:rsidRPr="001255E6">
        <w:rPr>
          <w:rFonts w:eastAsia="Arial"/>
        </w:rPr>
        <w:t xml:space="preserve"> health of Jamaica’s population by strengthening comprehensive policies for the prevention of Non-Communicable (Chronic) Diseases (NCDs) risk factors </w:t>
      </w:r>
      <w:r w:rsidR="00523941" w:rsidRPr="001255E6">
        <w:rPr>
          <w:rFonts w:eastAsia="Arial"/>
        </w:rPr>
        <w:t>and improved</w:t>
      </w:r>
      <w:r w:rsidRPr="001255E6">
        <w:rPr>
          <w:rFonts w:eastAsia="Arial"/>
        </w:rPr>
        <w:t xml:space="preserve"> access to an upgraded and integrated primary and secondary health network in prioritized areas with an emphasis on chronic disease management, </w:t>
      </w:r>
      <w:r w:rsidRPr="00D32E2D">
        <w:rPr>
          <w:rFonts w:eastAsia="Arial"/>
        </w:rPr>
        <w:t>that provide more efficient and higher quality care.</w:t>
      </w:r>
      <w:r w:rsidRPr="00D32E2D">
        <w:rPr>
          <w:rFonts w:eastAsia="Arial"/>
          <w:color w:val="000000"/>
        </w:rPr>
        <w:t xml:space="preserve">  </w:t>
      </w:r>
    </w:p>
    <w:p w14:paraId="245DFAAC" w14:textId="3F235880" w:rsidR="00415320" w:rsidRPr="00D32E2D" w:rsidRDefault="00AA698A" w:rsidP="00437D1C">
      <w:pPr>
        <w:rPr>
          <w:rFonts w:eastAsiaTheme="minorHAnsi"/>
        </w:rPr>
      </w:pPr>
      <w:r w:rsidRPr="00D32E2D">
        <w:rPr>
          <w:rFonts w:eastAsiaTheme="minorHAnsi"/>
        </w:rPr>
        <w:t>The programme is structured using a ‘hybrid model’, which features an investment loan and a programmatic policy-based loan (PPBL) to attain its primary objective. The policies in the PPBL will consolidate regulatory measures to address the preventable causes of NCDs and reorient the health system to address the prevention and control of NCDs through a people-centred chronic care model</w:t>
      </w:r>
      <w:r w:rsidR="00964525" w:rsidRPr="00D32E2D">
        <w:rPr>
          <w:rFonts w:eastAsiaTheme="minorHAnsi"/>
        </w:rPr>
        <w:t xml:space="preserve"> implemented in primary care settings</w:t>
      </w:r>
      <w:r w:rsidRPr="00D32E2D">
        <w:rPr>
          <w:rFonts w:eastAsiaTheme="minorHAnsi"/>
        </w:rPr>
        <w:t>. The investment component will, in turn, finance activities to consolidate integrated health networks and improve the management, quality and efficiency of healthcare services. The PPBL will benefit the Jamaican population at-large, and the investment loan will reach approximately 800,000 potential direct beneficiaries who reside in the catchment areas of the health services networks that will receive investments.</w:t>
      </w:r>
      <w:bookmarkStart w:id="9" w:name="_Hlk518569108"/>
      <w:r w:rsidR="009731B5" w:rsidRPr="00D32E2D">
        <w:rPr>
          <w:rFonts w:eastAsiaTheme="minorHAnsi"/>
        </w:rPr>
        <w:t xml:space="preserve"> </w:t>
      </w:r>
    </w:p>
    <w:p w14:paraId="625BFFE4" w14:textId="77777777" w:rsidR="003D6800" w:rsidRPr="00D32E2D" w:rsidRDefault="00297300" w:rsidP="00437D1C">
      <w:pPr>
        <w:rPr>
          <w:rFonts w:eastAsia="Arial"/>
        </w:rPr>
      </w:pPr>
      <w:r w:rsidRPr="00D32E2D">
        <w:rPr>
          <w:rFonts w:eastAsia="Arial"/>
        </w:rPr>
        <w:t xml:space="preserve">The Programme logic links the policy reforms to the proposed investments. For the PPBL, the GOJ and the Bank identified vital policies to reduce the risk factors and to improve clinical management of NCDs. It took into consideration the processes and timeframe of such policy measures and the duration of the PPBL series. The policy actions of the first operation prioritized the formulation of regulatory frameworks aimed at reducing the risk-factor behaviours of the population and at aligning health policies, guidelines, and protocols for the efficient management of NCDs. </w:t>
      </w:r>
    </w:p>
    <w:p w14:paraId="546EE404" w14:textId="2FE06332" w:rsidR="00364FD7" w:rsidRPr="00D32E2D" w:rsidRDefault="00364FD7" w:rsidP="00437D1C">
      <w:pPr>
        <w:rPr>
          <w:rFonts w:eastAsia="Arial"/>
        </w:rPr>
      </w:pPr>
      <w:r w:rsidRPr="00D32E2D">
        <w:rPr>
          <w:rFonts w:eastAsia="Arial"/>
        </w:rPr>
        <w:t xml:space="preserve">The second operation of the PPBL emphasizes the implementation of the policies, with robust means of verification that the GOJ </w:t>
      </w:r>
      <w:r w:rsidR="004B45D4" w:rsidRPr="00D32E2D">
        <w:rPr>
          <w:rFonts w:eastAsia="Arial"/>
        </w:rPr>
        <w:t>fulfilled in 2020</w:t>
      </w:r>
      <w:r w:rsidRPr="00D32E2D">
        <w:rPr>
          <w:rFonts w:eastAsia="Arial"/>
        </w:rPr>
        <w:t xml:space="preserve">. It includes a second set of measures to strengthen the Ministry of Health and Wellness (MOHW) capacity to provide NCD management aligned to best practices. These measures comprise the design and implementation of a Chronic Care Model (CCM), NCDs' screening and nutritional management guidelines suitable for primary care services, the development of a national strategic plan for mental health to provide comprehensive, integrated and responsive mental health services in community-based </w:t>
      </w:r>
      <w:r w:rsidR="00FB7493" w:rsidRPr="00D32E2D">
        <w:rPr>
          <w:rFonts w:eastAsia="Arial"/>
        </w:rPr>
        <w:t>settings,</w:t>
      </w:r>
      <w:r w:rsidRPr="00D32E2D">
        <w:rPr>
          <w:rFonts w:eastAsia="Arial"/>
        </w:rPr>
        <w:t xml:space="preserve"> and the development and approval of an action plan for information systems for health</w:t>
      </w:r>
      <w:r w:rsidR="00FB7493" w:rsidRPr="00D32E2D">
        <w:rPr>
          <w:rFonts w:eastAsia="Arial"/>
        </w:rPr>
        <w:t>.</w:t>
      </w:r>
    </w:p>
    <w:p w14:paraId="4291EF50" w14:textId="77777777" w:rsidR="000F0890" w:rsidRPr="00D32E2D" w:rsidRDefault="00A73EDD" w:rsidP="00437D1C">
      <w:pPr>
        <w:rPr>
          <w:rFonts w:eastAsia="Arial"/>
        </w:rPr>
      </w:pPr>
      <w:r w:rsidRPr="00D32E2D">
        <w:rPr>
          <w:rFonts w:eastAsia="Arial"/>
        </w:rPr>
        <w:t>The first operation provides the necessary regulations and policies to implement a coherent and comprehensive strategy to address the risk factors and streamline the clinical management of NCDs. The second operation will support the implementation of such regulations and policies, which will contribute to easing the NCDs' burden. Further progress will be contingent on effective behaviour change of the population in terms of healthy lifestyles, which is supported by both operations, and the continued strengthening of the integrated health network approach with sound primary health care.</w:t>
      </w:r>
    </w:p>
    <w:p w14:paraId="23630F34" w14:textId="7A020F31" w:rsidR="00415320" w:rsidRPr="00D32E2D" w:rsidRDefault="00075F5E" w:rsidP="00437D1C">
      <w:pPr>
        <w:rPr>
          <w:rFonts w:eastAsia="Arial"/>
        </w:rPr>
      </w:pPr>
      <w:r w:rsidRPr="00D32E2D">
        <w:rPr>
          <w:rFonts w:eastAsia="Arial"/>
        </w:rPr>
        <w:t xml:space="preserve">The investment loan supports the implementation of policy loan initiatives. It establishes a more conducive environment in the health facilities for NCDs risk factor reduction and clinical management. In general, it will increase the capacity of health centres and hospitals to diagnose and treat NCD patients. Specifically, it provides resources for the application of guidelines and screening procedures for early detection and care of NCDs. Additionally, the investment loan will </w:t>
      </w:r>
      <w:r w:rsidRPr="00D32E2D">
        <w:rPr>
          <w:rFonts w:eastAsia="Arial"/>
        </w:rPr>
        <w:lastRenderedPageBreak/>
        <w:t>finance the roll-out of the CCM, which is a comprehensive patient-centred care approach for NCDs care.  The health information system is another area in which the policy loan establishes a framework for intervention that the investment loan effectively adopts for implementation on a pilot basis. Moreover, the Programme´s strategy considers gender factors in the policies to combat NCDs through prevention, promotion</w:t>
      </w:r>
      <w:r w:rsidR="00B04D6A" w:rsidRPr="00D32E2D">
        <w:rPr>
          <w:rFonts w:eastAsia="Arial"/>
        </w:rPr>
        <w:t>,</w:t>
      </w:r>
      <w:r w:rsidRPr="00D32E2D">
        <w:rPr>
          <w:rFonts w:eastAsia="Arial"/>
        </w:rPr>
        <w:t xml:space="preserve"> and clinical management</w:t>
      </w:r>
      <w:r w:rsidR="00415320" w:rsidRPr="00D32E2D">
        <w:rPr>
          <w:rFonts w:eastAsia="Arial"/>
        </w:rPr>
        <w:t>.</w:t>
      </w:r>
    </w:p>
    <w:p w14:paraId="2A4B1602" w14:textId="4B3D03C5" w:rsidR="00415320" w:rsidRPr="00D32E2D" w:rsidRDefault="000D453E" w:rsidP="00BC256B">
      <w:pPr>
        <w:pStyle w:val="Heading3"/>
        <w:rPr>
          <w:rFonts w:eastAsiaTheme="minorHAnsi"/>
        </w:rPr>
      </w:pPr>
      <w:bookmarkStart w:id="10" w:name="_Toc519071142"/>
      <w:bookmarkStart w:id="11" w:name="_Toc519071183"/>
      <w:bookmarkStart w:id="12" w:name="_Toc47607320"/>
      <w:bookmarkEnd w:id="9"/>
      <w:r w:rsidRPr="00D32E2D">
        <w:t xml:space="preserve">1.2. </w:t>
      </w:r>
      <w:r w:rsidR="00415320" w:rsidRPr="00D32E2D">
        <w:t>Objectives, Components and Cost</w:t>
      </w:r>
      <w:bookmarkEnd w:id="10"/>
      <w:bookmarkEnd w:id="11"/>
      <w:r w:rsidR="00E7598A" w:rsidRPr="00D32E2D">
        <w:t xml:space="preserve"> of Programme</w:t>
      </w:r>
      <w:bookmarkEnd w:id="12"/>
    </w:p>
    <w:p w14:paraId="74954F62" w14:textId="6F646B5D" w:rsidR="000F0890" w:rsidRPr="00D32E2D" w:rsidRDefault="00415320" w:rsidP="00437D1C">
      <w:pPr>
        <w:rPr>
          <w:rFonts w:eastAsia="Arial"/>
          <w:bCs/>
        </w:rPr>
      </w:pPr>
      <w:r w:rsidRPr="00D32E2D">
        <w:rPr>
          <w:rFonts w:eastAsia="Arial"/>
          <w:b/>
          <w:bCs/>
        </w:rPr>
        <w:t>Objective.</w:t>
      </w:r>
      <w:r w:rsidRPr="00D32E2D">
        <w:rPr>
          <w:rFonts w:eastAsia="Arial"/>
        </w:rPr>
        <w:t xml:space="preserve"> The programme objective is to contribute to the improvement of the health of Jamaica’s population by strengthening comprehensive policies for the prevention of Non-Communicable (Chronic) Diseases (NCD) risk factors and an improved access to an upgraded and integrated primary and secondary health network in prioritized areas with an emphasis on chronic disease management, that provide more efficient and higher quality care. </w:t>
      </w:r>
      <w:bookmarkStart w:id="13" w:name="_Hlk517613817"/>
    </w:p>
    <w:p w14:paraId="229B91F5" w14:textId="52C3FC68" w:rsidR="00415320" w:rsidRPr="00D32E2D" w:rsidRDefault="00415320" w:rsidP="00437D1C">
      <w:pPr>
        <w:rPr>
          <w:rFonts w:eastAsia="Arial"/>
          <w:bCs/>
        </w:rPr>
      </w:pPr>
      <w:r w:rsidRPr="00D32E2D">
        <w:rPr>
          <w:rFonts w:eastAsia="Arial"/>
          <w:bCs/>
        </w:rPr>
        <w:t xml:space="preserve">The following table shows some basic characteristics of the population </w:t>
      </w:r>
      <w:r w:rsidR="009A530E" w:rsidRPr="00D32E2D">
        <w:rPr>
          <w:rFonts w:eastAsia="Arial"/>
          <w:bCs/>
        </w:rPr>
        <w:t xml:space="preserve">within </w:t>
      </w:r>
      <w:r w:rsidRPr="00D32E2D">
        <w:rPr>
          <w:rFonts w:eastAsia="Arial"/>
          <w:bCs/>
        </w:rPr>
        <w:t>the three parishes</w:t>
      </w:r>
      <w:r w:rsidR="00E9271B" w:rsidRPr="00D32E2D">
        <w:rPr>
          <w:rFonts w:eastAsia="Arial"/>
          <w:bCs/>
        </w:rPr>
        <w:t>.</w:t>
      </w:r>
      <w:r w:rsidRPr="00D32E2D">
        <w:rPr>
          <w:rFonts w:eastAsia="Arial"/>
          <w:bCs/>
        </w:rPr>
        <w:t xml:space="preserve"> </w:t>
      </w:r>
      <w:r w:rsidR="00E9271B" w:rsidRPr="00D32E2D">
        <w:rPr>
          <w:rFonts w:eastAsia="Arial"/>
          <w:bCs/>
        </w:rPr>
        <w:t>A</w:t>
      </w:r>
      <w:r w:rsidRPr="00D32E2D">
        <w:rPr>
          <w:rFonts w:eastAsia="Arial"/>
          <w:bCs/>
        </w:rPr>
        <w:t xml:space="preserve">bout 90% of the population of these parishes </w:t>
      </w:r>
      <w:r w:rsidR="00E9271B" w:rsidRPr="00D32E2D">
        <w:rPr>
          <w:rFonts w:eastAsia="Arial"/>
          <w:bCs/>
        </w:rPr>
        <w:t xml:space="preserve">lives </w:t>
      </w:r>
      <w:r w:rsidRPr="00D32E2D">
        <w:rPr>
          <w:rFonts w:eastAsia="Arial"/>
          <w:bCs/>
        </w:rPr>
        <w:t>in the catchment area of the project</w:t>
      </w:r>
      <w:r w:rsidR="00506F00" w:rsidRPr="00D32E2D">
        <w:rPr>
          <w:rFonts w:eastAsia="Arial"/>
          <w:bCs/>
        </w:rPr>
        <w:t>, thus</w:t>
      </w:r>
      <w:r w:rsidRPr="00D32E2D">
        <w:rPr>
          <w:rFonts w:eastAsia="Arial"/>
          <w:bCs/>
        </w:rPr>
        <w:t xml:space="preserve"> </w:t>
      </w:r>
      <w:r w:rsidR="00506F00" w:rsidRPr="00D32E2D">
        <w:rPr>
          <w:rFonts w:eastAsia="Arial"/>
          <w:bCs/>
        </w:rPr>
        <w:t>r</w:t>
      </w:r>
      <w:r w:rsidRPr="00D32E2D">
        <w:rPr>
          <w:rFonts w:eastAsia="Arial"/>
          <w:bCs/>
        </w:rPr>
        <w:t>epresenting about 33% of the national population</w:t>
      </w:r>
      <w:r w:rsidR="00DC743B" w:rsidRPr="00D32E2D">
        <w:rPr>
          <w:rFonts w:eastAsia="Arial"/>
          <w:bCs/>
        </w:rPr>
        <w:t>.</w:t>
      </w:r>
      <w:r w:rsidRPr="00D32E2D">
        <w:rPr>
          <w:rFonts w:eastAsia="Arial"/>
          <w:bCs/>
        </w:rPr>
        <w:t xml:space="preserve"> </w:t>
      </w:r>
      <w:r w:rsidR="00DC743B" w:rsidRPr="00D32E2D">
        <w:rPr>
          <w:rFonts w:eastAsia="Arial"/>
          <w:bCs/>
        </w:rPr>
        <w:t>T</w:t>
      </w:r>
      <w:r w:rsidRPr="00D32E2D">
        <w:rPr>
          <w:rFonts w:eastAsia="Arial"/>
          <w:bCs/>
        </w:rPr>
        <w:t xml:space="preserve">he male/female distribution is </w:t>
      </w:r>
      <w:r w:rsidR="00424B33" w:rsidRPr="00D32E2D">
        <w:rPr>
          <w:rFonts w:eastAsia="Arial"/>
          <w:bCs/>
        </w:rPr>
        <w:t>like</w:t>
      </w:r>
      <w:r w:rsidRPr="00D32E2D">
        <w:rPr>
          <w:rFonts w:eastAsia="Arial"/>
          <w:bCs/>
        </w:rPr>
        <w:t xml:space="preserve"> the national population</w:t>
      </w:r>
      <w:r w:rsidR="00A65110" w:rsidRPr="00D32E2D">
        <w:rPr>
          <w:rFonts w:eastAsia="Arial"/>
          <w:bCs/>
        </w:rPr>
        <w:t>.</w:t>
      </w:r>
      <w:r w:rsidRPr="00D32E2D">
        <w:rPr>
          <w:rFonts w:eastAsia="Arial"/>
          <w:bCs/>
        </w:rPr>
        <w:t xml:space="preserve"> </w:t>
      </w:r>
      <w:r w:rsidR="00A65110" w:rsidRPr="00D32E2D">
        <w:rPr>
          <w:rFonts w:eastAsia="Arial"/>
          <w:bCs/>
        </w:rPr>
        <w:t>I</w:t>
      </w:r>
      <w:r w:rsidRPr="00D32E2D">
        <w:rPr>
          <w:rFonts w:eastAsia="Arial"/>
          <w:bCs/>
        </w:rPr>
        <w:t>n terms of urban/rural distribution, St. Catherine is more urban, with St. Ann and Clarendon being more rural.</w:t>
      </w:r>
    </w:p>
    <w:p w14:paraId="1F23CE2D" w14:textId="32351656" w:rsidR="00985F4F" w:rsidRPr="00D32E2D" w:rsidRDefault="00985F4F" w:rsidP="00437D1C">
      <w:pPr>
        <w:rPr>
          <w:rFonts w:eastAsia="Arial"/>
          <w:bCs/>
        </w:rPr>
      </w:pPr>
    </w:p>
    <w:tbl>
      <w:tblPr>
        <w:tblW w:w="9186" w:type="dxa"/>
        <w:tblLook w:val="04A0" w:firstRow="1" w:lastRow="0" w:firstColumn="1" w:lastColumn="0" w:noHBand="0" w:noVBand="1"/>
      </w:tblPr>
      <w:tblGrid>
        <w:gridCol w:w="4420"/>
        <w:gridCol w:w="1440"/>
        <w:gridCol w:w="980"/>
        <w:gridCol w:w="1107"/>
        <w:gridCol w:w="1360"/>
      </w:tblGrid>
      <w:tr w:rsidR="009E4938" w:rsidRPr="00D32E2D" w14:paraId="72CA1113" w14:textId="77777777" w:rsidTr="00403F7B">
        <w:trPr>
          <w:trHeight w:val="300"/>
        </w:trPr>
        <w:tc>
          <w:tcPr>
            <w:tcW w:w="4420" w:type="dxa"/>
            <w:tcBorders>
              <w:top w:val="single" w:sz="4" w:space="0" w:color="auto"/>
              <w:left w:val="single" w:sz="4" w:space="0" w:color="auto"/>
              <w:bottom w:val="single" w:sz="4" w:space="0" w:color="auto"/>
              <w:right w:val="nil"/>
            </w:tcBorders>
            <w:shd w:val="clear" w:color="auto" w:fill="auto"/>
            <w:noWrap/>
            <w:vAlign w:val="bottom"/>
            <w:hideMark/>
          </w:tcPr>
          <w:p w14:paraId="08006FD9" w14:textId="426D234B" w:rsidR="00415320" w:rsidRPr="00D32E2D" w:rsidRDefault="00F42D39" w:rsidP="00F42D39">
            <w:pPr>
              <w:spacing w:before="0" w:after="0"/>
              <w:rPr>
                <w:rFonts w:cs="Arial"/>
                <w:color w:val="000000"/>
                <w:sz w:val="18"/>
                <w:szCs w:val="22"/>
              </w:rPr>
            </w:pPr>
            <w:r w:rsidRPr="00D32E2D">
              <w:rPr>
                <w:rFonts w:eastAsia="Arial"/>
              </w:rPr>
              <w:br w:type="page"/>
            </w:r>
            <w:r w:rsidR="00415320" w:rsidRPr="00D32E2D">
              <w:rPr>
                <w:rFonts w:cs="Arial"/>
                <w:color w:val="000000"/>
                <w:sz w:val="18"/>
                <w:szCs w:val="22"/>
              </w:rPr>
              <w:t> </w:t>
            </w:r>
          </w:p>
        </w:tc>
        <w:tc>
          <w:tcPr>
            <w:tcW w:w="1440" w:type="dxa"/>
            <w:tcBorders>
              <w:top w:val="single" w:sz="4" w:space="0" w:color="auto"/>
              <w:left w:val="nil"/>
              <w:bottom w:val="single" w:sz="4" w:space="0" w:color="auto"/>
              <w:right w:val="nil"/>
            </w:tcBorders>
            <w:shd w:val="clear" w:color="auto" w:fill="auto"/>
            <w:noWrap/>
            <w:vAlign w:val="bottom"/>
            <w:hideMark/>
          </w:tcPr>
          <w:p w14:paraId="13CF9BB8" w14:textId="77777777" w:rsidR="00415320" w:rsidRPr="00D32E2D" w:rsidRDefault="00415320" w:rsidP="00F42D39">
            <w:pPr>
              <w:spacing w:before="0" w:after="0"/>
              <w:rPr>
                <w:rFonts w:cs="Arial"/>
                <w:b/>
                <w:bCs/>
                <w:color w:val="000000"/>
                <w:sz w:val="18"/>
                <w:szCs w:val="22"/>
              </w:rPr>
            </w:pPr>
            <w:r w:rsidRPr="00D32E2D">
              <w:rPr>
                <w:rFonts w:cs="Arial"/>
                <w:b/>
                <w:bCs/>
                <w:color w:val="000000"/>
                <w:sz w:val="18"/>
                <w:szCs w:val="22"/>
              </w:rPr>
              <w:t>St Catherine</w:t>
            </w:r>
          </w:p>
        </w:tc>
        <w:tc>
          <w:tcPr>
            <w:tcW w:w="980" w:type="dxa"/>
            <w:tcBorders>
              <w:top w:val="single" w:sz="4" w:space="0" w:color="auto"/>
              <w:left w:val="nil"/>
              <w:bottom w:val="single" w:sz="4" w:space="0" w:color="auto"/>
              <w:right w:val="nil"/>
            </w:tcBorders>
            <w:shd w:val="clear" w:color="auto" w:fill="auto"/>
            <w:noWrap/>
            <w:vAlign w:val="bottom"/>
            <w:hideMark/>
          </w:tcPr>
          <w:p w14:paraId="1E95AB0D" w14:textId="77777777" w:rsidR="00415320" w:rsidRPr="00D32E2D" w:rsidRDefault="00415320" w:rsidP="00F42D39">
            <w:pPr>
              <w:spacing w:before="0" w:after="0"/>
              <w:rPr>
                <w:rFonts w:cs="Arial"/>
                <w:b/>
                <w:bCs/>
                <w:color w:val="000000"/>
                <w:sz w:val="18"/>
                <w:szCs w:val="22"/>
              </w:rPr>
            </w:pPr>
            <w:r w:rsidRPr="00D32E2D">
              <w:rPr>
                <w:rFonts w:cs="Arial"/>
                <w:b/>
                <w:bCs/>
                <w:color w:val="000000"/>
                <w:sz w:val="18"/>
                <w:szCs w:val="22"/>
              </w:rPr>
              <w:t>St Ann</w:t>
            </w:r>
          </w:p>
        </w:tc>
        <w:tc>
          <w:tcPr>
            <w:tcW w:w="986" w:type="dxa"/>
            <w:tcBorders>
              <w:top w:val="single" w:sz="4" w:space="0" w:color="auto"/>
              <w:left w:val="nil"/>
              <w:bottom w:val="single" w:sz="4" w:space="0" w:color="auto"/>
              <w:right w:val="nil"/>
            </w:tcBorders>
            <w:shd w:val="clear" w:color="auto" w:fill="auto"/>
            <w:noWrap/>
            <w:vAlign w:val="bottom"/>
            <w:hideMark/>
          </w:tcPr>
          <w:p w14:paraId="6ECFD6F4" w14:textId="77777777" w:rsidR="00415320" w:rsidRPr="00D32E2D" w:rsidRDefault="00415320" w:rsidP="00F42D39">
            <w:pPr>
              <w:spacing w:before="0" w:after="0"/>
              <w:rPr>
                <w:rFonts w:cs="Arial"/>
                <w:b/>
                <w:bCs/>
                <w:color w:val="000000"/>
                <w:sz w:val="18"/>
                <w:szCs w:val="22"/>
              </w:rPr>
            </w:pPr>
            <w:r w:rsidRPr="00D32E2D">
              <w:rPr>
                <w:rFonts w:cs="Arial"/>
                <w:b/>
                <w:bCs/>
                <w:color w:val="000000"/>
                <w:sz w:val="18"/>
                <w:szCs w:val="22"/>
              </w:rPr>
              <w:t>Clarendon</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676488D" w14:textId="77777777" w:rsidR="00415320" w:rsidRPr="00D32E2D" w:rsidRDefault="00415320" w:rsidP="00F42D39">
            <w:pPr>
              <w:spacing w:before="0" w:after="0"/>
              <w:rPr>
                <w:rFonts w:cs="Arial"/>
                <w:b/>
                <w:bCs/>
                <w:color w:val="000000"/>
                <w:sz w:val="18"/>
                <w:szCs w:val="22"/>
              </w:rPr>
            </w:pPr>
            <w:r w:rsidRPr="00D32E2D">
              <w:rPr>
                <w:rFonts w:cs="Arial"/>
                <w:b/>
                <w:bCs/>
                <w:color w:val="000000"/>
                <w:sz w:val="18"/>
                <w:szCs w:val="22"/>
              </w:rPr>
              <w:t>Jamaica - Total</w:t>
            </w:r>
          </w:p>
        </w:tc>
      </w:tr>
      <w:tr w:rsidR="009E4938" w:rsidRPr="00D32E2D" w14:paraId="3F2AFE7A" w14:textId="77777777" w:rsidTr="00403F7B">
        <w:trPr>
          <w:trHeight w:val="300"/>
        </w:trPr>
        <w:tc>
          <w:tcPr>
            <w:tcW w:w="4420" w:type="dxa"/>
            <w:tcBorders>
              <w:top w:val="nil"/>
              <w:left w:val="single" w:sz="4" w:space="0" w:color="auto"/>
              <w:bottom w:val="nil"/>
              <w:right w:val="nil"/>
            </w:tcBorders>
            <w:shd w:val="clear" w:color="auto" w:fill="auto"/>
            <w:noWrap/>
            <w:vAlign w:val="bottom"/>
            <w:hideMark/>
          </w:tcPr>
          <w:p w14:paraId="4CFE0D86" w14:textId="66616B50" w:rsidR="00415320" w:rsidRPr="00D32E2D" w:rsidRDefault="00415320" w:rsidP="00F42D39">
            <w:pPr>
              <w:spacing w:before="0" w:after="0"/>
              <w:rPr>
                <w:rFonts w:cs="Arial"/>
                <w:color w:val="000000"/>
                <w:sz w:val="18"/>
                <w:szCs w:val="22"/>
                <w:u w:val="single"/>
              </w:rPr>
            </w:pPr>
            <w:r w:rsidRPr="00D32E2D">
              <w:rPr>
                <w:rFonts w:cs="Arial"/>
                <w:color w:val="000000"/>
                <w:sz w:val="18"/>
                <w:szCs w:val="22"/>
                <w:u w:val="single"/>
              </w:rPr>
              <w:t>Population (Census 2011)</w:t>
            </w:r>
          </w:p>
        </w:tc>
        <w:tc>
          <w:tcPr>
            <w:tcW w:w="1440" w:type="dxa"/>
            <w:tcBorders>
              <w:top w:val="nil"/>
              <w:left w:val="nil"/>
              <w:bottom w:val="nil"/>
              <w:right w:val="nil"/>
            </w:tcBorders>
            <w:shd w:val="clear" w:color="auto" w:fill="auto"/>
            <w:noWrap/>
            <w:vAlign w:val="bottom"/>
            <w:hideMark/>
          </w:tcPr>
          <w:p w14:paraId="49599ED4" w14:textId="77777777" w:rsidR="00415320" w:rsidRPr="00D32E2D" w:rsidRDefault="00415320" w:rsidP="00F42D39">
            <w:pPr>
              <w:spacing w:before="0" w:after="0"/>
              <w:rPr>
                <w:rFonts w:cs="Arial"/>
                <w:color w:val="000000"/>
                <w:sz w:val="18"/>
                <w:szCs w:val="22"/>
                <w:u w:val="single"/>
              </w:rPr>
            </w:pPr>
          </w:p>
        </w:tc>
        <w:tc>
          <w:tcPr>
            <w:tcW w:w="980" w:type="dxa"/>
            <w:tcBorders>
              <w:top w:val="nil"/>
              <w:left w:val="nil"/>
              <w:bottom w:val="nil"/>
              <w:right w:val="nil"/>
            </w:tcBorders>
            <w:shd w:val="clear" w:color="auto" w:fill="auto"/>
            <w:noWrap/>
            <w:vAlign w:val="bottom"/>
            <w:hideMark/>
          </w:tcPr>
          <w:p w14:paraId="0E2EF9FE" w14:textId="77777777" w:rsidR="00415320" w:rsidRPr="00D32E2D" w:rsidRDefault="00415320" w:rsidP="00F42D39">
            <w:pPr>
              <w:spacing w:before="0" w:after="0"/>
              <w:rPr>
                <w:rFonts w:cs="Arial"/>
                <w:sz w:val="18"/>
              </w:rPr>
            </w:pPr>
          </w:p>
        </w:tc>
        <w:tc>
          <w:tcPr>
            <w:tcW w:w="986" w:type="dxa"/>
            <w:tcBorders>
              <w:top w:val="nil"/>
              <w:left w:val="nil"/>
              <w:bottom w:val="nil"/>
              <w:right w:val="nil"/>
            </w:tcBorders>
            <w:shd w:val="clear" w:color="auto" w:fill="auto"/>
            <w:noWrap/>
            <w:vAlign w:val="bottom"/>
            <w:hideMark/>
          </w:tcPr>
          <w:p w14:paraId="3B3949FC" w14:textId="77777777" w:rsidR="00415320" w:rsidRPr="00D32E2D" w:rsidRDefault="00415320" w:rsidP="00F42D39">
            <w:pPr>
              <w:spacing w:before="0" w:after="0"/>
              <w:rPr>
                <w:rFonts w:cs="Arial"/>
                <w:sz w:val="18"/>
              </w:rPr>
            </w:pPr>
          </w:p>
        </w:tc>
        <w:tc>
          <w:tcPr>
            <w:tcW w:w="1360" w:type="dxa"/>
            <w:tcBorders>
              <w:top w:val="nil"/>
              <w:left w:val="nil"/>
              <w:bottom w:val="nil"/>
              <w:right w:val="single" w:sz="4" w:space="0" w:color="auto"/>
            </w:tcBorders>
            <w:shd w:val="clear" w:color="auto" w:fill="auto"/>
            <w:noWrap/>
            <w:vAlign w:val="bottom"/>
            <w:hideMark/>
          </w:tcPr>
          <w:p w14:paraId="1FD811AE" w14:textId="77777777" w:rsidR="00415320" w:rsidRPr="00D32E2D" w:rsidRDefault="00415320" w:rsidP="00F42D39">
            <w:pPr>
              <w:spacing w:before="0" w:after="0"/>
              <w:rPr>
                <w:rFonts w:cs="Arial"/>
                <w:color w:val="000000"/>
                <w:sz w:val="18"/>
                <w:szCs w:val="22"/>
              </w:rPr>
            </w:pPr>
            <w:r w:rsidRPr="00D32E2D">
              <w:rPr>
                <w:rFonts w:cs="Arial"/>
                <w:color w:val="000000"/>
                <w:sz w:val="18"/>
                <w:szCs w:val="22"/>
              </w:rPr>
              <w:t> </w:t>
            </w:r>
          </w:p>
        </w:tc>
      </w:tr>
      <w:tr w:rsidR="009E4938" w:rsidRPr="00D32E2D" w14:paraId="44B2A4C5" w14:textId="77777777" w:rsidTr="00403F7B">
        <w:trPr>
          <w:trHeight w:val="300"/>
        </w:trPr>
        <w:tc>
          <w:tcPr>
            <w:tcW w:w="4420" w:type="dxa"/>
            <w:tcBorders>
              <w:top w:val="nil"/>
              <w:left w:val="single" w:sz="4" w:space="0" w:color="auto"/>
              <w:bottom w:val="nil"/>
              <w:right w:val="nil"/>
            </w:tcBorders>
            <w:shd w:val="clear" w:color="auto" w:fill="auto"/>
            <w:noWrap/>
            <w:vAlign w:val="bottom"/>
            <w:hideMark/>
          </w:tcPr>
          <w:p w14:paraId="6F7165FC" w14:textId="77777777" w:rsidR="00415320" w:rsidRPr="00D32E2D" w:rsidRDefault="00415320" w:rsidP="00F42D39">
            <w:pPr>
              <w:spacing w:before="0" w:after="0"/>
              <w:rPr>
                <w:rFonts w:cs="Arial"/>
                <w:color w:val="000000"/>
                <w:sz w:val="18"/>
                <w:szCs w:val="22"/>
              </w:rPr>
            </w:pPr>
            <w:r w:rsidRPr="00D32E2D">
              <w:rPr>
                <w:rFonts w:cs="Arial"/>
                <w:color w:val="000000"/>
                <w:sz w:val="18"/>
                <w:szCs w:val="22"/>
              </w:rPr>
              <w:t>Total</w:t>
            </w:r>
          </w:p>
        </w:tc>
        <w:tc>
          <w:tcPr>
            <w:tcW w:w="1440" w:type="dxa"/>
            <w:tcBorders>
              <w:top w:val="nil"/>
              <w:left w:val="nil"/>
              <w:bottom w:val="nil"/>
              <w:right w:val="nil"/>
            </w:tcBorders>
            <w:shd w:val="clear" w:color="auto" w:fill="auto"/>
            <w:noWrap/>
            <w:vAlign w:val="bottom"/>
            <w:hideMark/>
          </w:tcPr>
          <w:p w14:paraId="6C626250" w14:textId="77777777" w:rsidR="00415320" w:rsidRPr="00D32E2D" w:rsidRDefault="00415320" w:rsidP="00F42D39">
            <w:pPr>
              <w:spacing w:before="0" w:after="0"/>
              <w:jc w:val="right"/>
              <w:rPr>
                <w:rFonts w:cs="Arial"/>
                <w:color w:val="000000"/>
                <w:sz w:val="18"/>
                <w:szCs w:val="22"/>
              </w:rPr>
            </w:pPr>
            <w:r w:rsidRPr="00D32E2D">
              <w:rPr>
                <w:rFonts w:cs="Arial"/>
                <w:color w:val="000000"/>
                <w:sz w:val="18"/>
                <w:szCs w:val="22"/>
              </w:rPr>
              <w:t>516,218</w:t>
            </w:r>
          </w:p>
        </w:tc>
        <w:tc>
          <w:tcPr>
            <w:tcW w:w="980" w:type="dxa"/>
            <w:tcBorders>
              <w:top w:val="nil"/>
              <w:left w:val="nil"/>
              <w:bottom w:val="nil"/>
              <w:right w:val="nil"/>
            </w:tcBorders>
            <w:shd w:val="clear" w:color="auto" w:fill="auto"/>
            <w:noWrap/>
            <w:vAlign w:val="bottom"/>
            <w:hideMark/>
          </w:tcPr>
          <w:p w14:paraId="15629B50" w14:textId="77777777" w:rsidR="00415320" w:rsidRPr="00D32E2D" w:rsidRDefault="00415320" w:rsidP="00F42D39">
            <w:pPr>
              <w:spacing w:before="0" w:after="0"/>
              <w:jc w:val="right"/>
              <w:rPr>
                <w:rFonts w:cs="Arial"/>
                <w:color w:val="000000"/>
                <w:sz w:val="18"/>
                <w:szCs w:val="22"/>
              </w:rPr>
            </w:pPr>
            <w:r w:rsidRPr="00D32E2D">
              <w:rPr>
                <w:rFonts w:cs="Arial"/>
                <w:color w:val="000000"/>
                <w:sz w:val="18"/>
                <w:szCs w:val="22"/>
              </w:rPr>
              <w:t>172,362</w:t>
            </w:r>
          </w:p>
        </w:tc>
        <w:tc>
          <w:tcPr>
            <w:tcW w:w="986" w:type="dxa"/>
            <w:tcBorders>
              <w:top w:val="nil"/>
              <w:left w:val="nil"/>
              <w:bottom w:val="nil"/>
              <w:right w:val="nil"/>
            </w:tcBorders>
            <w:shd w:val="clear" w:color="auto" w:fill="auto"/>
            <w:noWrap/>
            <w:vAlign w:val="bottom"/>
            <w:hideMark/>
          </w:tcPr>
          <w:p w14:paraId="02ED1678" w14:textId="77777777" w:rsidR="00415320" w:rsidRPr="00D32E2D" w:rsidRDefault="00415320" w:rsidP="00F42D39">
            <w:pPr>
              <w:spacing w:before="0" w:after="0"/>
              <w:jc w:val="right"/>
              <w:rPr>
                <w:rFonts w:cs="Arial"/>
                <w:color w:val="000000"/>
                <w:sz w:val="18"/>
                <w:szCs w:val="22"/>
              </w:rPr>
            </w:pPr>
            <w:r w:rsidRPr="00D32E2D">
              <w:rPr>
                <w:rFonts w:cs="Arial"/>
                <w:color w:val="000000"/>
                <w:sz w:val="18"/>
                <w:szCs w:val="22"/>
              </w:rPr>
              <w:t>245,103</w:t>
            </w:r>
          </w:p>
        </w:tc>
        <w:tc>
          <w:tcPr>
            <w:tcW w:w="1360" w:type="dxa"/>
            <w:tcBorders>
              <w:top w:val="nil"/>
              <w:left w:val="nil"/>
              <w:bottom w:val="nil"/>
              <w:right w:val="single" w:sz="4" w:space="0" w:color="auto"/>
            </w:tcBorders>
            <w:shd w:val="clear" w:color="auto" w:fill="auto"/>
            <w:noWrap/>
            <w:vAlign w:val="bottom"/>
            <w:hideMark/>
          </w:tcPr>
          <w:p w14:paraId="5C83BB3B" w14:textId="77777777" w:rsidR="00415320" w:rsidRPr="00D32E2D" w:rsidRDefault="00415320" w:rsidP="00F42D39">
            <w:pPr>
              <w:spacing w:before="0" w:after="0"/>
              <w:jc w:val="right"/>
              <w:rPr>
                <w:rFonts w:cs="Arial"/>
                <w:color w:val="000000"/>
                <w:sz w:val="18"/>
                <w:szCs w:val="22"/>
              </w:rPr>
            </w:pPr>
            <w:r w:rsidRPr="00D32E2D">
              <w:rPr>
                <w:rFonts w:cs="Arial"/>
                <w:color w:val="000000"/>
                <w:sz w:val="18"/>
                <w:szCs w:val="22"/>
              </w:rPr>
              <w:t>2,697,983</w:t>
            </w:r>
          </w:p>
        </w:tc>
      </w:tr>
      <w:tr w:rsidR="009E4938" w:rsidRPr="00D32E2D" w14:paraId="29A13E85" w14:textId="77777777" w:rsidTr="00403F7B">
        <w:trPr>
          <w:trHeight w:val="300"/>
        </w:trPr>
        <w:tc>
          <w:tcPr>
            <w:tcW w:w="4420" w:type="dxa"/>
            <w:tcBorders>
              <w:top w:val="nil"/>
              <w:left w:val="single" w:sz="4" w:space="0" w:color="auto"/>
              <w:bottom w:val="nil"/>
              <w:right w:val="nil"/>
            </w:tcBorders>
            <w:shd w:val="clear" w:color="auto" w:fill="auto"/>
            <w:noWrap/>
            <w:vAlign w:val="bottom"/>
            <w:hideMark/>
          </w:tcPr>
          <w:p w14:paraId="1467FE59" w14:textId="77777777" w:rsidR="00415320" w:rsidRPr="00D32E2D" w:rsidRDefault="00415320" w:rsidP="00F42D39">
            <w:pPr>
              <w:spacing w:before="0" w:after="0"/>
              <w:rPr>
                <w:rFonts w:cs="Arial"/>
                <w:color w:val="000000"/>
                <w:sz w:val="18"/>
                <w:szCs w:val="22"/>
              </w:rPr>
            </w:pPr>
            <w:r w:rsidRPr="00D32E2D">
              <w:rPr>
                <w:rFonts w:cs="Arial"/>
                <w:color w:val="000000"/>
                <w:sz w:val="18"/>
                <w:szCs w:val="22"/>
              </w:rPr>
              <w:t>Male</w:t>
            </w:r>
          </w:p>
        </w:tc>
        <w:tc>
          <w:tcPr>
            <w:tcW w:w="1440" w:type="dxa"/>
            <w:tcBorders>
              <w:top w:val="nil"/>
              <w:left w:val="nil"/>
              <w:bottom w:val="nil"/>
              <w:right w:val="nil"/>
            </w:tcBorders>
            <w:shd w:val="clear" w:color="auto" w:fill="auto"/>
            <w:noWrap/>
            <w:vAlign w:val="bottom"/>
            <w:hideMark/>
          </w:tcPr>
          <w:p w14:paraId="74955B92" w14:textId="77777777" w:rsidR="00415320" w:rsidRPr="00D32E2D" w:rsidRDefault="00415320" w:rsidP="00F42D39">
            <w:pPr>
              <w:spacing w:before="0" w:after="0"/>
              <w:jc w:val="right"/>
              <w:rPr>
                <w:rFonts w:cs="Arial"/>
                <w:color w:val="000000"/>
                <w:sz w:val="18"/>
                <w:szCs w:val="22"/>
              </w:rPr>
            </w:pPr>
            <w:r w:rsidRPr="00D32E2D">
              <w:rPr>
                <w:rFonts w:cs="Arial"/>
                <w:color w:val="000000"/>
                <w:sz w:val="18"/>
                <w:szCs w:val="22"/>
              </w:rPr>
              <w:t>250,358</w:t>
            </w:r>
          </w:p>
        </w:tc>
        <w:tc>
          <w:tcPr>
            <w:tcW w:w="980" w:type="dxa"/>
            <w:tcBorders>
              <w:top w:val="nil"/>
              <w:left w:val="nil"/>
              <w:bottom w:val="nil"/>
              <w:right w:val="nil"/>
            </w:tcBorders>
            <w:shd w:val="clear" w:color="auto" w:fill="auto"/>
            <w:noWrap/>
            <w:vAlign w:val="bottom"/>
            <w:hideMark/>
          </w:tcPr>
          <w:p w14:paraId="20E6D592" w14:textId="77777777" w:rsidR="00415320" w:rsidRPr="00D32E2D" w:rsidRDefault="00415320" w:rsidP="00F42D39">
            <w:pPr>
              <w:spacing w:before="0" w:after="0"/>
              <w:jc w:val="right"/>
              <w:rPr>
                <w:rFonts w:cs="Arial"/>
                <w:color w:val="000000"/>
                <w:sz w:val="18"/>
                <w:szCs w:val="22"/>
              </w:rPr>
            </w:pPr>
            <w:r w:rsidRPr="00D32E2D">
              <w:rPr>
                <w:rFonts w:cs="Arial"/>
                <w:color w:val="000000"/>
                <w:sz w:val="18"/>
                <w:szCs w:val="22"/>
              </w:rPr>
              <w:t>86,662</w:t>
            </w:r>
          </w:p>
        </w:tc>
        <w:tc>
          <w:tcPr>
            <w:tcW w:w="986" w:type="dxa"/>
            <w:tcBorders>
              <w:top w:val="nil"/>
              <w:left w:val="nil"/>
              <w:bottom w:val="nil"/>
              <w:right w:val="nil"/>
            </w:tcBorders>
            <w:shd w:val="clear" w:color="auto" w:fill="auto"/>
            <w:noWrap/>
            <w:vAlign w:val="bottom"/>
            <w:hideMark/>
          </w:tcPr>
          <w:p w14:paraId="529BFA4F" w14:textId="77777777" w:rsidR="00415320" w:rsidRPr="00D32E2D" w:rsidRDefault="00415320" w:rsidP="00F42D39">
            <w:pPr>
              <w:spacing w:before="0" w:after="0"/>
              <w:jc w:val="right"/>
              <w:rPr>
                <w:rFonts w:cs="Arial"/>
                <w:color w:val="000000"/>
                <w:sz w:val="18"/>
                <w:szCs w:val="22"/>
              </w:rPr>
            </w:pPr>
            <w:r w:rsidRPr="00D32E2D">
              <w:rPr>
                <w:rFonts w:cs="Arial"/>
                <w:color w:val="000000"/>
                <w:sz w:val="18"/>
                <w:szCs w:val="22"/>
              </w:rPr>
              <w:t>123,791</w:t>
            </w:r>
          </w:p>
        </w:tc>
        <w:tc>
          <w:tcPr>
            <w:tcW w:w="1360" w:type="dxa"/>
            <w:tcBorders>
              <w:top w:val="nil"/>
              <w:left w:val="nil"/>
              <w:bottom w:val="nil"/>
              <w:right w:val="single" w:sz="4" w:space="0" w:color="auto"/>
            </w:tcBorders>
            <w:shd w:val="clear" w:color="auto" w:fill="auto"/>
            <w:noWrap/>
            <w:vAlign w:val="bottom"/>
            <w:hideMark/>
          </w:tcPr>
          <w:p w14:paraId="44DE9259" w14:textId="77777777" w:rsidR="00415320" w:rsidRPr="00D32E2D" w:rsidRDefault="00415320" w:rsidP="00F42D39">
            <w:pPr>
              <w:spacing w:before="0" w:after="0"/>
              <w:jc w:val="right"/>
              <w:rPr>
                <w:rFonts w:cs="Arial"/>
                <w:color w:val="000000"/>
                <w:sz w:val="18"/>
                <w:szCs w:val="22"/>
              </w:rPr>
            </w:pPr>
            <w:r w:rsidRPr="00D32E2D">
              <w:rPr>
                <w:rFonts w:cs="Arial"/>
                <w:color w:val="000000"/>
                <w:sz w:val="18"/>
                <w:szCs w:val="22"/>
              </w:rPr>
              <w:t>1,334,533</w:t>
            </w:r>
          </w:p>
        </w:tc>
      </w:tr>
      <w:tr w:rsidR="009E4938" w:rsidRPr="00D32E2D" w14:paraId="6764FF80" w14:textId="77777777" w:rsidTr="00403F7B">
        <w:trPr>
          <w:trHeight w:val="300"/>
        </w:trPr>
        <w:tc>
          <w:tcPr>
            <w:tcW w:w="4420" w:type="dxa"/>
            <w:tcBorders>
              <w:top w:val="nil"/>
              <w:left w:val="single" w:sz="4" w:space="0" w:color="auto"/>
              <w:bottom w:val="nil"/>
              <w:right w:val="nil"/>
            </w:tcBorders>
            <w:shd w:val="clear" w:color="auto" w:fill="auto"/>
            <w:noWrap/>
            <w:vAlign w:val="bottom"/>
            <w:hideMark/>
          </w:tcPr>
          <w:p w14:paraId="29E83428" w14:textId="77777777" w:rsidR="00415320" w:rsidRPr="00D32E2D" w:rsidRDefault="00415320" w:rsidP="00F42D39">
            <w:pPr>
              <w:spacing w:before="0" w:after="0"/>
              <w:rPr>
                <w:rFonts w:cs="Arial"/>
                <w:color w:val="000000"/>
                <w:sz w:val="18"/>
                <w:szCs w:val="22"/>
              </w:rPr>
            </w:pPr>
            <w:r w:rsidRPr="00D32E2D">
              <w:rPr>
                <w:rFonts w:cs="Arial"/>
                <w:color w:val="000000"/>
                <w:sz w:val="18"/>
                <w:szCs w:val="22"/>
              </w:rPr>
              <w:t>Female</w:t>
            </w:r>
          </w:p>
        </w:tc>
        <w:tc>
          <w:tcPr>
            <w:tcW w:w="1440" w:type="dxa"/>
            <w:tcBorders>
              <w:top w:val="nil"/>
              <w:left w:val="nil"/>
              <w:bottom w:val="nil"/>
              <w:right w:val="nil"/>
            </w:tcBorders>
            <w:shd w:val="clear" w:color="auto" w:fill="auto"/>
            <w:noWrap/>
            <w:vAlign w:val="bottom"/>
            <w:hideMark/>
          </w:tcPr>
          <w:p w14:paraId="4C25B314" w14:textId="77777777" w:rsidR="00415320" w:rsidRPr="00D32E2D" w:rsidRDefault="00415320" w:rsidP="00F42D39">
            <w:pPr>
              <w:spacing w:before="0" w:after="0"/>
              <w:jc w:val="right"/>
              <w:rPr>
                <w:rFonts w:cs="Arial"/>
                <w:color w:val="000000"/>
                <w:sz w:val="18"/>
                <w:szCs w:val="22"/>
              </w:rPr>
            </w:pPr>
            <w:r w:rsidRPr="00D32E2D">
              <w:rPr>
                <w:rFonts w:cs="Arial"/>
                <w:color w:val="000000"/>
                <w:sz w:val="18"/>
                <w:szCs w:val="22"/>
              </w:rPr>
              <w:t>265,860</w:t>
            </w:r>
          </w:p>
        </w:tc>
        <w:tc>
          <w:tcPr>
            <w:tcW w:w="980" w:type="dxa"/>
            <w:tcBorders>
              <w:top w:val="nil"/>
              <w:left w:val="nil"/>
              <w:bottom w:val="nil"/>
              <w:right w:val="nil"/>
            </w:tcBorders>
            <w:shd w:val="clear" w:color="auto" w:fill="auto"/>
            <w:noWrap/>
            <w:vAlign w:val="bottom"/>
            <w:hideMark/>
          </w:tcPr>
          <w:p w14:paraId="5D53EA38" w14:textId="77777777" w:rsidR="00415320" w:rsidRPr="00D32E2D" w:rsidRDefault="00415320" w:rsidP="00F42D39">
            <w:pPr>
              <w:spacing w:before="0" w:after="0"/>
              <w:jc w:val="right"/>
              <w:rPr>
                <w:rFonts w:cs="Arial"/>
                <w:color w:val="000000"/>
                <w:sz w:val="18"/>
                <w:szCs w:val="22"/>
              </w:rPr>
            </w:pPr>
            <w:r w:rsidRPr="00D32E2D">
              <w:rPr>
                <w:rFonts w:cs="Arial"/>
                <w:color w:val="000000"/>
                <w:sz w:val="18"/>
                <w:szCs w:val="22"/>
              </w:rPr>
              <w:t>85,700</w:t>
            </w:r>
          </w:p>
        </w:tc>
        <w:tc>
          <w:tcPr>
            <w:tcW w:w="986" w:type="dxa"/>
            <w:tcBorders>
              <w:top w:val="nil"/>
              <w:left w:val="nil"/>
              <w:bottom w:val="nil"/>
              <w:right w:val="nil"/>
            </w:tcBorders>
            <w:shd w:val="clear" w:color="auto" w:fill="auto"/>
            <w:noWrap/>
            <w:vAlign w:val="bottom"/>
            <w:hideMark/>
          </w:tcPr>
          <w:p w14:paraId="774D4C05" w14:textId="77777777" w:rsidR="00415320" w:rsidRPr="00D32E2D" w:rsidRDefault="00415320" w:rsidP="00F42D39">
            <w:pPr>
              <w:spacing w:before="0" w:after="0"/>
              <w:jc w:val="right"/>
              <w:rPr>
                <w:rFonts w:cs="Arial"/>
                <w:color w:val="000000"/>
                <w:sz w:val="18"/>
                <w:szCs w:val="22"/>
              </w:rPr>
            </w:pPr>
            <w:r w:rsidRPr="00D32E2D">
              <w:rPr>
                <w:rFonts w:cs="Arial"/>
                <w:color w:val="000000"/>
                <w:sz w:val="18"/>
                <w:szCs w:val="22"/>
              </w:rPr>
              <w:t>121,312</w:t>
            </w:r>
          </w:p>
        </w:tc>
        <w:tc>
          <w:tcPr>
            <w:tcW w:w="1360" w:type="dxa"/>
            <w:tcBorders>
              <w:top w:val="nil"/>
              <w:left w:val="nil"/>
              <w:bottom w:val="nil"/>
              <w:right w:val="single" w:sz="4" w:space="0" w:color="auto"/>
            </w:tcBorders>
            <w:shd w:val="clear" w:color="auto" w:fill="auto"/>
            <w:noWrap/>
            <w:vAlign w:val="bottom"/>
            <w:hideMark/>
          </w:tcPr>
          <w:p w14:paraId="6B6A484F" w14:textId="77777777" w:rsidR="00415320" w:rsidRPr="00D32E2D" w:rsidRDefault="00415320" w:rsidP="00F42D39">
            <w:pPr>
              <w:spacing w:before="0" w:after="0"/>
              <w:jc w:val="right"/>
              <w:rPr>
                <w:rFonts w:cs="Arial"/>
                <w:color w:val="000000"/>
                <w:sz w:val="18"/>
                <w:szCs w:val="22"/>
              </w:rPr>
            </w:pPr>
            <w:r w:rsidRPr="00D32E2D">
              <w:rPr>
                <w:rFonts w:cs="Arial"/>
                <w:color w:val="000000"/>
                <w:sz w:val="18"/>
                <w:szCs w:val="22"/>
              </w:rPr>
              <w:t>1,363,450</w:t>
            </w:r>
          </w:p>
        </w:tc>
      </w:tr>
      <w:tr w:rsidR="009E4938" w:rsidRPr="00D32E2D" w14:paraId="76DAE0F1" w14:textId="77777777" w:rsidTr="00403F7B">
        <w:trPr>
          <w:trHeight w:val="300"/>
        </w:trPr>
        <w:tc>
          <w:tcPr>
            <w:tcW w:w="4420" w:type="dxa"/>
            <w:tcBorders>
              <w:top w:val="nil"/>
              <w:left w:val="single" w:sz="4" w:space="0" w:color="auto"/>
              <w:bottom w:val="nil"/>
              <w:right w:val="nil"/>
            </w:tcBorders>
            <w:shd w:val="clear" w:color="auto" w:fill="auto"/>
            <w:noWrap/>
            <w:vAlign w:val="bottom"/>
            <w:hideMark/>
          </w:tcPr>
          <w:p w14:paraId="28AAB4A2" w14:textId="77777777" w:rsidR="00415320" w:rsidRPr="00D32E2D" w:rsidRDefault="00415320" w:rsidP="00F42D39">
            <w:pPr>
              <w:spacing w:before="0" w:after="0"/>
              <w:rPr>
                <w:rFonts w:cs="Arial"/>
                <w:color w:val="000000"/>
                <w:sz w:val="18"/>
                <w:szCs w:val="22"/>
              </w:rPr>
            </w:pPr>
            <w:r w:rsidRPr="00D32E2D">
              <w:rPr>
                <w:rFonts w:cs="Arial"/>
                <w:color w:val="000000"/>
                <w:sz w:val="18"/>
                <w:szCs w:val="22"/>
              </w:rPr>
              <w:t>Urban population</w:t>
            </w:r>
          </w:p>
        </w:tc>
        <w:tc>
          <w:tcPr>
            <w:tcW w:w="1440" w:type="dxa"/>
            <w:tcBorders>
              <w:top w:val="nil"/>
              <w:left w:val="nil"/>
              <w:bottom w:val="nil"/>
              <w:right w:val="nil"/>
            </w:tcBorders>
            <w:shd w:val="clear" w:color="auto" w:fill="auto"/>
            <w:noWrap/>
            <w:vAlign w:val="bottom"/>
            <w:hideMark/>
          </w:tcPr>
          <w:p w14:paraId="37E06A3E" w14:textId="77777777" w:rsidR="00415320" w:rsidRPr="00D32E2D" w:rsidRDefault="00415320" w:rsidP="00F42D39">
            <w:pPr>
              <w:spacing w:before="0" w:after="0"/>
              <w:jc w:val="right"/>
              <w:rPr>
                <w:rFonts w:cs="Arial"/>
                <w:color w:val="000000"/>
                <w:sz w:val="18"/>
                <w:szCs w:val="22"/>
              </w:rPr>
            </w:pPr>
            <w:r w:rsidRPr="00D32E2D">
              <w:rPr>
                <w:rFonts w:cs="Arial"/>
                <w:color w:val="000000"/>
                <w:sz w:val="18"/>
                <w:szCs w:val="22"/>
              </w:rPr>
              <w:t>398,555</w:t>
            </w:r>
          </w:p>
        </w:tc>
        <w:tc>
          <w:tcPr>
            <w:tcW w:w="980" w:type="dxa"/>
            <w:tcBorders>
              <w:top w:val="nil"/>
              <w:left w:val="nil"/>
              <w:bottom w:val="nil"/>
              <w:right w:val="nil"/>
            </w:tcBorders>
            <w:shd w:val="clear" w:color="auto" w:fill="auto"/>
            <w:noWrap/>
            <w:vAlign w:val="bottom"/>
            <w:hideMark/>
          </w:tcPr>
          <w:p w14:paraId="375899A0" w14:textId="77777777" w:rsidR="00415320" w:rsidRPr="00D32E2D" w:rsidRDefault="00415320" w:rsidP="00F42D39">
            <w:pPr>
              <w:spacing w:before="0" w:after="0"/>
              <w:jc w:val="right"/>
              <w:rPr>
                <w:rFonts w:cs="Arial"/>
                <w:color w:val="000000"/>
                <w:sz w:val="18"/>
                <w:szCs w:val="22"/>
              </w:rPr>
            </w:pPr>
            <w:r w:rsidRPr="00D32E2D">
              <w:rPr>
                <w:rFonts w:cs="Arial"/>
                <w:color w:val="000000"/>
                <w:sz w:val="18"/>
                <w:szCs w:val="22"/>
              </w:rPr>
              <w:t>49,812</w:t>
            </w:r>
          </w:p>
        </w:tc>
        <w:tc>
          <w:tcPr>
            <w:tcW w:w="986" w:type="dxa"/>
            <w:tcBorders>
              <w:top w:val="nil"/>
              <w:left w:val="nil"/>
              <w:bottom w:val="nil"/>
              <w:right w:val="nil"/>
            </w:tcBorders>
            <w:shd w:val="clear" w:color="auto" w:fill="auto"/>
            <w:noWrap/>
            <w:vAlign w:val="bottom"/>
            <w:hideMark/>
          </w:tcPr>
          <w:p w14:paraId="5D0A6571" w14:textId="77777777" w:rsidR="00415320" w:rsidRPr="00D32E2D" w:rsidRDefault="00415320" w:rsidP="00F42D39">
            <w:pPr>
              <w:spacing w:before="0" w:after="0"/>
              <w:jc w:val="right"/>
              <w:rPr>
                <w:rFonts w:cs="Arial"/>
                <w:color w:val="000000"/>
                <w:sz w:val="18"/>
                <w:szCs w:val="22"/>
              </w:rPr>
            </w:pPr>
            <w:r w:rsidRPr="00D32E2D">
              <w:rPr>
                <w:rFonts w:cs="Arial"/>
                <w:color w:val="000000"/>
                <w:sz w:val="18"/>
                <w:szCs w:val="22"/>
              </w:rPr>
              <w:t>85,861</w:t>
            </w:r>
          </w:p>
        </w:tc>
        <w:tc>
          <w:tcPr>
            <w:tcW w:w="1360" w:type="dxa"/>
            <w:tcBorders>
              <w:top w:val="nil"/>
              <w:left w:val="nil"/>
              <w:bottom w:val="nil"/>
              <w:right w:val="single" w:sz="4" w:space="0" w:color="auto"/>
            </w:tcBorders>
            <w:shd w:val="clear" w:color="auto" w:fill="auto"/>
            <w:noWrap/>
            <w:vAlign w:val="bottom"/>
            <w:hideMark/>
          </w:tcPr>
          <w:p w14:paraId="72E2837A" w14:textId="77777777" w:rsidR="00415320" w:rsidRPr="00D32E2D" w:rsidRDefault="00415320" w:rsidP="00F42D39">
            <w:pPr>
              <w:spacing w:before="0" w:after="0"/>
              <w:jc w:val="right"/>
              <w:rPr>
                <w:rFonts w:cs="Arial"/>
                <w:color w:val="000000"/>
                <w:sz w:val="18"/>
                <w:szCs w:val="22"/>
              </w:rPr>
            </w:pPr>
            <w:r w:rsidRPr="00D32E2D">
              <w:rPr>
                <w:rFonts w:cs="Arial"/>
                <w:color w:val="000000"/>
                <w:sz w:val="18"/>
                <w:szCs w:val="22"/>
              </w:rPr>
              <w:t>1,454,153</w:t>
            </w:r>
          </w:p>
        </w:tc>
      </w:tr>
      <w:tr w:rsidR="009E4938" w:rsidRPr="00D32E2D" w14:paraId="3F655C73" w14:textId="77777777" w:rsidTr="00403F7B">
        <w:trPr>
          <w:trHeight w:val="300"/>
        </w:trPr>
        <w:tc>
          <w:tcPr>
            <w:tcW w:w="4420" w:type="dxa"/>
            <w:tcBorders>
              <w:top w:val="nil"/>
              <w:left w:val="single" w:sz="4" w:space="0" w:color="auto"/>
              <w:bottom w:val="nil"/>
              <w:right w:val="nil"/>
            </w:tcBorders>
            <w:shd w:val="clear" w:color="auto" w:fill="auto"/>
            <w:noWrap/>
            <w:vAlign w:val="bottom"/>
            <w:hideMark/>
          </w:tcPr>
          <w:p w14:paraId="45F4870B" w14:textId="77777777" w:rsidR="00415320" w:rsidRPr="00D32E2D" w:rsidRDefault="00415320" w:rsidP="00F42D39">
            <w:pPr>
              <w:spacing w:before="0" w:after="0"/>
              <w:rPr>
                <w:rFonts w:cs="Arial"/>
                <w:color w:val="000000"/>
                <w:sz w:val="18"/>
                <w:szCs w:val="22"/>
              </w:rPr>
            </w:pPr>
            <w:r w:rsidRPr="00D32E2D">
              <w:rPr>
                <w:rFonts w:cs="Arial"/>
                <w:color w:val="000000"/>
                <w:sz w:val="18"/>
                <w:szCs w:val="22"/>
              </w:rPr>
              <w:t>Rural population</w:t>
            </w:r>
          </w:p>
        </w:tc>
        <w:tc>
          <w:tcPr>
            <w:tcW w:w="1440" w:type="dxa"/>
            <w:tcBorders>
              <w:top w:val="nil"/>
              <w:left w:val="nil"/>
              <w:bottom w:val="nil"/>
              <w:right w:val="nil"/>
            </w:tcBorders>
            <w:shd w:val="clear" w:color="auto" w:fill="auto"/>
            <w:noWrap/>
            <w:vAlign w:val="bottom"/>
            <w:hideMark/>
          </w:tcPr>
          <w:p w14:paraId="50ED96D3" w14:textId="77777777" w:rsidR="00415320" w:rsidRPr="00D32E2D" w:rsidRDefault="00415320" w:rsidP="00F42D39">
            <w:pPr>
              <w:spacing w:before="0" w:after="0"/>
              <w:jc w:val="right"/>
              <w:rPr>
                <w:rFonts w:cs="Arial"/>
                <w:color w:val="000000"/>
                <w:sz w:val="18"/>
                <w:szCs w:val="22"/>
              </w:rPr>
            </w:pPr>
            <w:r w:rsidRPr="00D32E2D">
              <w:rPr>
                <w:rFonts w:cs="Arial"/>
                <w:color w:val="000000"/>
                <w:sz w:val="18"/>
                <w:szCs w:val="22"/>
              </w:rPr>
              <w:t>117,662</w:t>
            </w:r>
          </w:p>
        </w:tc>
        <w:tc>
          <w:tcPr>
            <w:tcW w:w="980" w:type="dxa"/>
            <w:tcBorders>
              <w:top w:val="nil"/>
              <w:left w:val="nil"/>
              <w:bottom w:val="nil"/>
              <w:right w:val="nil"/>
            </w:tcBorders>
            <w:shd w:val="clear" w:color="auto" w:fill="auto"/>
            <w:noWrap/>
            <w:vAlign w:val="bottom"/>
            <w:hideMark/>
          </w:tcPr>
          <w:p w14:paraId="45BFF0B9" w14:textId="77777777" w:rsidR="00415320" w:rsidRPr="00D32E2D" w:rsidRDefault="00415320" w:rsidP="00F42D39">
            <w:pPr>
              <w:spacing w:before="0" w:after="0"/>
              <w:jc w:val="right"/>
              <w:rPr>
                <w:rFonts w:cs="Arial"/>
                <w:color w:val="000000"/>
                <w:sz w:val="18"/>
                <w:szCs w:val="22"/>
              </w:rPr>
            </w:pPr>
            <w:r w:rsidRPr="00D32E2D">
              <w:rPr>
                <w:rFonts w:cs="Arial"/>
                <w:color w:val="000000"/>
                <w:sz w:val="18"/>
                <w:szCs w:val="22"/>
              </w:rPr>
              <w:t>122,550</w:t>
            </w:r>
          </w:p>
        </w:tc>
        <w:tc>
          <w:tcPr>
            <w:tcW w:w="986" w:type="dxa"/>
            <w:tcBorders>
              <w:top w:val="nil"/>
              <w:left w:val="nil"/>
              <w:bottom w:val="nil"/>
              <w:right w:val="nil"/>
            </w:tcBorders>
            <w:shd w:val="clear" w:color="auto" w:fill="auto"/>
            <w:noWrap/>
            <w:vAlign w:val="bottom"/>
            <w:hideMark/>
          </w:tcPr>
          <w:p w14:paraId="6F82BB67" w14:textId="77777777" w:rsidR="00415320" w:rsidRPr="00D32E2D" w:rsidRDefault="00415320" w:rsidP="00F42D39">
            <w:pPr>
              <w:spacing w:before="0" w:after="0"/>
              <w:jc w:val="right"/>
              <w:rPr>
                <w:rFonts w:cs="Arial"/>
                <w:color w:val="000000"/>
                <w:sz w:val="18"/>
                <w:szCs w:val="22"/>
              </w:rPr>
            </w:pPr>
            <w:r w:rsidRPr="00D32E2D">
              <w:rPr>
                <w:rFonts w:cs="Arial"/>
                <w:color w:val="000000"/>
                <w:sz w:val="18"/>
                <w:szCs w:val="22"/>
              </w:rPr>
              <w:t>159,242</w:t>
            </w:r>
          </w:p>
        </w:tc>
        <w:tc>
          <w:tcPr>
            <w:tcW w:w="1360" w:type="dxa"/>
            <w:tcBorders>
              <w:top w:val="nil"/>
              <w:left w:val="nil"/>
              <w:bottom w:val="nil"/>
              <w:right w:val="single" w:sz="4" w:space="0" w:color="auto"/>
            </w:tcBorders>
            <w:shd w:val="clear" w:color="auto" w:fill="auto"/>
            <w:noWrap/>
            <w:vAlign w:val="bottom"/>
            <w:hideMark/>
          </w:tcPr>
          <w:p w14:paraId="055C423A" w14:textId="77777777" w:rsidR="00415320" w:rsidRPr="00D32E2D" w:rsidRDefault="00415320" w:rsidP="00F42D39">
            <w:pPr>
              <w:spacing w:before="0" w:after="0"/>
              <w:jc w:val="right"/>
              <w:rPr>
                <w:rFonts w:cs="Arial"/>
                <w:color w:val="000000"/>
                <w:sz w:val="18"/>
                <w:szCs w:val="22"/>
              </w:rPr>
            </w:pPr>
            <w:r w:rsidRPr="00D32E2D">
              <w:rPr>
                <w:rFonts w:cs="Arial"/>
                <w:color w:val="000000"/>
                <w:sz w:val="18"/>
                <w:szCs w:val="22"/>
              </w:rPr>
              <w:t>1,243,832</w:t>
            </w:r>
          </w:p>
        </w:tc>
      </w:tr>
      <w:tr w:rsidR="009E4938" w:rsidRPr="00D32E2D" w14:paraId="7201FF97" w14:textId="77777777" w:rsidTr="00403F7B">
        <w:trPr>
          <w:trHeight w:val="300"/>
        </w:trPr>
        <w:tc>
          <w:tcPr>
            <w:tcW w:w="4420" w:type="dxa"/>
            <w:tcBorders>
              <w:top w:val="nil"/>
              <w:left w:val="single" w:sz="4" w:space="0" w:color="auto"/>
              <w:bottom w:val="nil"/>
              <w:right w:val="nil"/>
            </w:tcBorders>
            <w:shd w:val="clear" w:color="auto" w:fill="auto"/>
            <w:noWrap/>
            <w:vAlign w:val="bottom"/>
            <w:hideMark/>
          </w:tcPr>
          <w:p w14:paraId="2E987627" w14:textId="77777777" w:rsidR="00415320" w:rsidRPr="00D32E2D" w:rsidRDefault="00415320" w:rsidP="00F42D39">
            <w:pPr>
              <w:spacing w:before="0" w:after="0"/>
              <w:rPr>
                <w:rFonts w:cs="Arial"/>
                <w:color w:val="000000"/>
                <w:sz w:val="18"/>
                <w:szCs w:val="22"/>
              </w:rPr>
            </w:pPr>
            <w:r w:rsidRPr="00D32E2D">
              <w:rPr>
                <w:rFonts w:cs="Arial"/>
                <w:color w:val="000000"/>
                <w:sz w:val="18"/>
                <w:szCs w:val="22"/>
              </w:rPr>
              <w:t> </w:t>
            </w:r>
          </w:p>
        </w:tc>
        <w:tc>
          <w:tcPr>
            <w:tcW w:w="1440" w:type="dxa"/>
            <w:tcBorders>
              <w:top w:val="nil"/>
              <w:left w:val="nil"/>
              <w:bottom w:val="nil"/>
              <w:right w:val="nil"/>
            </w:tcBorders>
            <w:shd w:val="clear" w:color="auto" w:fill="auto"/>
            <w:noWrap/>
            <w:vAlign w:val="bottom"/>
            <w:hideMark/>
          </w:tcPr>
          <w:p w14:paraId="29F98FDC" w14:textId="77777777" w:rsidR="00415320" w:rsidRPr="00D32E2D" w:rsidRDefault="00415320" w:rsidP="00F42D39">
            <w:pPr>
              <w:spacing w:before="0" w:after="0"/>
              <w:rPr>
                <w:rFonts w:cs="Arial"/>
                <w:color w:val="000000"/>
                <w:sz w:val="18"/>
                <w:szCs w:val="22"/>
              </w:rPr>
            </w:pPr>
          </w:p>
        </w:tc>
        <w:tc>
          <w:tcPr>
            <w:tcW w:w="980" w:type="dxa"/>
            <w:tcBorders>
              <w:top w:val="nil"/>
              <w:left w:val="nil"/>
              <w:bottom w:val="nil"/>
              <w:right w:val="nil"/>
            </w:tcBorders>
            <w:shd w:val="clear" w:color="auto" w:fill="auto"/>
            <w:noWrap/>
            <w:vAlign w:val="bottom"/>
            <w:hideMark/>
          </w:tcPr>
          <w:p w14:paraId="6610AEA8" w14:textId="77777777" w:rsidR="00415320" w:rsidRPr="00D32E2D" w:rsidRDefault="00415320" w:rsidP="00F42D39">
            <w:pPr>
              <w:spacing w:before="0" w:after="0"/>
              <w:rPr>
                <w:rFonts w:cs="Arial"/>
                <w:sz w:val="18"/>
              </w:rPr>
            </w:pPr>
          </w:p>
        </w:tc>
        <w:tc>
          <w:tcPr>
            <w:tcW w:w="986" w:type="dxa"/>
            <w:tcBorders>
              <w:top w:val="nil"/>
              <w:left w:val="nil"/>
              <w:bottom w:val="nil"/>
              <w:right w:val="nil"/>
            </w:tcBorders>
            <w:shd w:val="clear" w:color="auto" w:fill="auto"/>
            <w:noWrap/>
            <w:vAlign w:val="bottom"/>
            <w:hideMark/>
          </w:tcPr>
          <w:p w14:paraId="290944AA" w14:textId="77777777" w:rsidR="00415320" w:rsidRPr="00D32E2D" w:rsidRDefault="00415320" w:rsidP="00F42D39">
            <w:pPr>
              <w:spacing w:before="0" w:after="0"/>
              <w:rPr>
                <w:rFonts w:cs="Arial"/>
                <w:sz w:val="18"/>
              </w:rPr>
            </w:pPr>
          </w:p>
        </w:tc>
        <w:tc>
          <w:tcPr>
            <w:tcW w:w="1360" w:type="dxa"/>
            <w:tcBorders>
              <w:top w:val="nil"/>
              <w:left w:val="nil"/>
              <w:bottom w:val="nil"/>
              <w:right w:val="single" w:sz="4" w:space="0" w:color="auto"/>
            </w:tcBorders>
            <w:shd w:val="clear" w:color="auto" w:fill="auto"/>
            <w:noWrap/>
            <w:vAlign w:val="bottom"/>
            <w:hideMark/>
          </w:tcPr>
          <w:p w14:paraId="639BFB3B" w14:textId="77777777" w:rsidR="00415320" w:rsidRPr="00D32E2D" w:rsidRDefault="00415320" w:rsidP="00F42D39">
            <w:pPr>
              <w:spacing w:before="0" w:after="0"/>
              <w:rPr>
                <w:rFonts w:cs="Arial"/>
                <w:color w:val="000000"/>
                <w:sz w:val="18"/>
                <w:szCs w:val="22"/>
              </w:rPr>
            </w:pPr>
            <w:r w:rsidRPr="00D32E2D">
              <w:rPr>
                <w:rFonts w:cs="Arial"/>
                <w:color w:val="000000"/>
                <w:sz w:val="18"/>
                <w:szCs w:val="22"/>
              </w:rPr>
              <w:t> </w:t>
            </w:r>
          </w:p>
        </w:tc>
      </w:tr>
      <w:tr w:rsidR="009E4938" w:rsidRPr="00D32E2D" w14:paraId="7507636C" w14:textId="77777777" w:rsidTr="00403F7B">
        <w:trPr>
          <w:trHeight w:val="300"/>
        </w:trPr>
        <w:tc>
          <w:tcPr>
            <w:tcW w:w="4420" w:type="dxa"/>
            <w:tcBorders>
              <w:top w:val="nil"/>
              <w:left w:val="single" w:sz="4" w:space="0" w:color="auto"/>
              <w:bottom w:val="nil"/>
              <w:right w:val="nil"/>
            </w:tcBorders>
            <w:shd w:val="clear" w:color="auto" w:fill="auto"/>
            <w:noWrap/>
            <w:vAlign w:val="bottom"/>
            <w:hideMark/>
          </w:tcPr>
          <w:p w14:paraId="51B7390B" w14:textId="482A1CEF" w:rsidR="00415320" w:rsidRPr="00D32E2D" w:rsidRDefault="00415320" w:rsidP="00F42D39">
            <w:pPr>
              <w:spacing w:before="0" w:after="0"/>
              <w:rPr>
                <w:rFonts w:cs="Arial"/>
                <w:color w:val="000000"/>
                <w:sz w:val="18"/>
                <w:szCs w:val="22"/>
              </w:rPr>
            </w:pPr>
            <w:r w:rsidRPr="00D32E2D">
              <w:rPr>
                <w:rFonts w:cs="Arial"/>
                <w:color w:val="000000"/>
                <w:sz w:val="18"/>
                <w:szCs w:val="22"/>
              </w:rPr>
              <w:t>Prevalence of poverty (%, 2012)</w:t>
            </w:r>
          </w:p>
        </w:tc>
        <w:tc>
          <w:tcPr>
            <w:tcW w:w="1440" w:type="dxa"/>
            <w:tcBorders>
              <w:top w:val="nil"/>
              <w:left w:val="nil"/>
              <w:bottom w:val="nil"/>
              <w:right w:val="nil"/>
            </w:tcBorders>
            <w:shd w:val="clear" w:color="auto" w:fill="auto"/>
            <w:noWrap/>
            <w:vAlign w:val="bottom"/>
            <w:hideMark/>
          </w:tcPr>
          <w:p w14:paraId="7D143821" w14:textId="77777777" w:rsidR="00415320" w:rsidRPr="00D32E2D" w:rsidRDefault="00415320" w:rsidP="00F42D39">
            <w:pPr>
              <w:spacing w:before="0" w:after="0"/>
              <w:jc w:val="right"/>
              <w:rPr>
                <w:rFonts w:cs="Arial"/>
                <w:color w:val="000000"/>
                <w:sz w:val="18"/>
                <w:szCs w:val="22"/>
              </w:rPr>
            </w:pPr>
            <w:r w:rsidRPr="00D32E2D">
              <w:rPr>
                <w:rFonts w:cs="Arial"/>
                <w:color w:val="000000"/>
                <w:sz w:val="18"/>
                <w:szCs w:val="22"/>
              </w:rPr>
              <w:t>24.0</w:t>
            </w:r>
          </w:p>
        </w:tc>
        <w:tc>
          <w:tcPr>
            <w:tcW w:w="980" w:type="dxa"/>
            <w:tcBorders>
              <w:top w:val="nil"/>
              <w:left w:val="nil"/>
              <w:bottom w:val="nil"/>
              <w:right w:val="nil"/>
            </w:tcBorders>
            <w:shd w:val="clear" w:color="auto" w:fill="auto"/>
            <w:noWrap/>
            <w:vAlign w:val="bottom"/>
            <w:hideMark/>
          </w:tcPr>
          <w:p w14:paraId="0BBA41BA" w14:textId="77777777" w:rsidR="00415320" w:rsidRPr="00D32E2D" w:rsidRDefault="00415320" w:rsidP="00F42D39">
            <w:pPr>
              <w:spacing w:before="0" w:after="0"/>
              <w:jc w:val="right"/>
              <w:rPr>
                <w:rFonts w:cs="Arial"/>
                <w:color w:val="000000"/>
                <w:sz w:val="18"/>
                <w:szCs w:val="22"/>
              </w:rPr>
            </w:pPr>
            <w:r w:rsidRPr="00D32E2D">
              <w:rPr>
                <w:rFonts w:cs="Arial"/>
                <w:color w:val="000000"/>
                <w:sz w:val="18"/>
                <w:szCs w:val="22"/>
              </w:rPr>
              <w:t>18.4</w:t>
            </w:r>
          </w:p>
        </w:tc>
        <w:tc>
          <w:tcPr>
            <w:tcW w:w="986" w:type="dxa"/>
            <w:tcBorders>
              <w:top w:val="nil"/>
              <w:left w:val="nil"/>
              <w:bottom w:val="nil"/>
              <w:right w:val="nil"/>
            </w:tcBorders>
            <w:shd w:val="clear" w:color="auto" w:fill="auto"/>
            <w:noWrap/>
            <w:vAlign w:val="bottom"/>
            <w:hideMark/>
          </w:tcPr>
          <w:p w14:paraId="03783A3E" w14:textId="77777777" w:rsidR="00415320" w:rsidRPr="00D32E2D" w:rsidRDefault="00415320" w:rsidP="00F42D39">
            <w:pPr>
              <w:spacing w:before="0" w:after="0"/>
              <w:jc w:val="right"/>
              <w:rPr>
                <w:rFonts w:cs="Arial"/>
                <w:color w:val="000000"/>
                <w:sz w:val="18"/>
                <w:szCs w:val="22"/>
              </w:rPr>
            </w:pPr>
            <w:r w:rsidRPr="00D32E2D">
              <w:rPr>
                <w:rFonts w:cs="Arial"/>
                <w:color w:val="000000"/>
                <w:sz w:val="18"/>
                <w:szCs w:val="22"/>
              </w:rPr>
              <w:t>19.33</w:t>
            </w:r>
          </w:p>
        </w:tc>
        <w:tc>
          <w:tcPr>
            <w:tcW w:w="1360" w:type="dxa"/>
            <w:tcBorders>
              <w:top w:val="nil"/>
              <w:left w:val="nil"/>
              <w:bottom w:val="nil"/>
              <w:right w:val="single" w:sz="4" w:space="0" w:color="auto"/>
            </w:tcBorders>
            <w:shd w:val="clear" w:color="auto" w:fill="auto"/>
            <w:noWrap/>
            <w:vAlign w:val="bottom"/>
            <w:hideMark/>
          </w:tcPr>
          <w:p w14:paraId="365EFC72" w14:textId="77777777" w:rsidR="00415320" w:rsidRPr="00D32E2D" w:rsidRDefault="00415320" w:rsidP="00F42D39">
            <w:pPr>
              <w:spacing w:before="0" w:after="0"/>
              <w:jc w:val="right"/>
              <w:rPr>
                <w:rFonts w:cs="Arial"/>
                <w:color w:val="000000"/>
                <w:sz w:val="18"/>
                <w:szCs w:val="22"/>
              </w:rPr>
            </w:pPr>
            <w:r w:rsidRPr="00D32E2D">
              <w:rPr>
                <w:rFonts w:cs="Arial"/>
                <w:color w:val="000000"/>
                <w:sz w:val="18"/>
                <w:szCs w:val="22"/>
              </w:rPr>
              <w:t>19.9</w:t>
            </w:r>
          </w:p>
        </w:tc>
      </w:tr>
      <w:tr w:rsidR="009E4938" w:rsidRPr="00D32E2D" w14:paraId="7B3E0FC1" w14:textId="77777777" w:rsidTr="00403F7B">
        <w:trPr>
          <w:trHeight w:val="300"/>
        </w:trPr>
        <w:tc>
          <w:tcPr>
            <w:tcW w:w="4420" w:type="dxa"/>
            <w:tcBorders>
              <w:top w:val="nil"/>
              <w:left w:val="single" w:sz="4" w:space="0" w:color="auto"/>
              <w:bottom w:val="nil"/>
              <w:right w:val="nil"/>
            </w:tcBorders>
            <w:shd w:val="clear" w:color="auto" w:fill="auto"/>
            <w:noWrap/>
            <w:vAlign w:val="bottom"/>
            <w:hideMark/>
          </w:tcPr>
          <w:p w14:paraId="377E2769" w14:textId="77777777" w:rsidR="00415320" w:rsidRPr="00D32E2D" w:rsidRDefault="00415320" w:rsidP="00F42D39">
            <w:pPr>
              <w:spacing w:before="0" w:after="0"/>
              <w:rPr>
                <w:rFonts w:cs="Arial"/>
                <w:color w:val="000000"/>
                <w:sz w:val="18"/>
                <w:szCs w:val="22"/>
              </w:rPr>
            </w:pPr>
            <w:r w:rsidRPr="00D32E2D">
              <w:rPr>
                <w:rFonts w:cs="Arial"/>
                <w:color w:val="000000"/>
                <w:sz w:val="18"/>
                <w:szCs w:val="22"/>
              </w:rPr>
              <w:t> </w:t>
            </w:r>
          </w:p>
        </w:tc>
        <w:tc>
          <w:tcPr>
            <w:tcW w:w="1440" w:type="dxa"/>
            <w:tcBorders>
              <w:top w:val="nil"/>
              <w:left w:val="nil"/>
              <w:bottom w:val="nil"/>
              <w:right w:val="nil"/>
            </w:tcBorders>
            <w:shd w:val="clear" w:color="auto" w:fill="auto"/>
            <w:noWrap/>
            <w:vAlign w:val="bottom"/>
            <w:hideMark/>
          </w:tcPr>
          <w:p w14:paraId="7DBAC6AD" w14:textId="77777777" w:rsidR="00415320" w:rsidRPr="00D32E2D" w:rsidRDefault="00415320" w:rsidP="00F42D39">
            <w:pPr>
              <w:spacing w:before="0" w:after="0"/>
              <w:rPr>
                <w:rFonts w:cs="Arial"/>
                <w:color w:val="000000"/>
                <w:sz w:val="18"/>
                <w:szCs w:val="22"/>
              </w:rPr>
            </w:pPr>
          </w:p>
        </w:tc>
        <w:tc>
          <w:tcPr>
            <w:tcW w:w="980" w:type="dxa"/>
            <w:tcBorders>
              <w:top w:val="nil"/>
              <w:left w:val="nil"/>
              <w:bottom w:val="nil"/>
              <w:right w:val="nil"/>
            </w:tcBorders>
            <w:shd w:val="clear" w:color="auto" w:fill="auto"/>
            <w:noWrap/>
            <w:vAlign w:val="bottom"/>
            <w:hideMark/>
          </w:tcPr>
          <w:p w14:paraId="0164CB65" w14:textId="77777777" w:rsidR="00415320" w:rsidRPr="00D32E2D" w:rsidRDefault="00415320" w:rsidP="00F42D39">
            <w:pPr>
              <w:spacing w:before="0" w:after="0"/>
              <w:rPr>
                <w:rFonts w:cs="Arial"/>
                <w:sz w:val="18"/>
              </w:rPr>
            </w:pPr>
          </w:p>
        </w:tc>
        <w:tc>
          <w:tcPr>
            <w:tcW w:w="986" w:type="dxa"/>
            <w:tcBorders>
              <w:top w:val="nil"/>
              <w:left w:val="nil"/>
              <w:bottom w:val="nil"/>
              <w:right w:val="nil"/>
            </w:tcBorders>
            <w:shd w:val="clear" w:color="auto" w:fill="auto"/>
            <w:noWrap/>
            <w:vAlign w:val="bottom"/>
            <w:hideMark/>
          </w:tcPr>
          <w:p w14:paraId="12DB8E94" w14:textId="77777777" w:rsidR="00415320" w:rsidRPr="00D32E2D" w:rsidRDefault="00415320" w:rsidP="00F42D39">
            <w:pPr>
              <w:spacing w:before="0" w:after="0"/>
              <w:rPr>
                <w:rFonts w:cs="Arial"/>
                <w:sz w:val="18"/>
              </w:rPr>
            </w:pPr>
          </w:p>
        </w:tc>
        <w:tc>
          <w:tcPr>
            <w:tcW w:w="1360" w:type="dxa"/>
            <w:tcBorders>
              <w:top w:val="nil"/>
              <w:left w:val="nil"/>
              <w:bottom w:val="nil"/>
              <w:right w:val="single" w:sz="4" w:space="0" w:color="auto"/>
            </w:tcBorders>
            <w:shd w:val="clear" w:color="auto" w:fill="auto"/>
            <w:noWrap/>
            <w:vAlign w:val="bottom"/>
            <w:hideMark/>
          </w:tcPr>
          <w:p w14:paraId="0BF96FAE" w14:textId="77777777" w:rsidR="00415320" w:rsidRPr="00D32E2D" w:rsidRDefault="00415320" w:rsidP="00F42D39">
            <w:pPr>
              <w:spacing w:before="0" w:after="0"/>
              <w:rPr>
                <w:rFonts w:cs="Arial"/>
                <w:color w:val="000000"/>
                <w:sz w:val="18"/>
                <w:szCs w:val="22"/>
              </w:rPr>
            </w:pPr>
            <w:r w:rsidRPr="00D32E2D">
              <w:rPr>
                <w:rFonts w:cs="Arial"/>
                <w:color w:val="000000"/>
                <w:sz w:val="18"/>
                <w:szCs w:val="22"/>
              </w:rPr>
              <w:t> </w:t>
            </w:r>
          </w:p>
        </w:tc>
      </w:tr>
      <w:tr w:rsidR="009E4938" w:rsidRPr="00D32E2D" w14:paraId="114581A8" w14:textId="77777777" w:rsidTr="00403F7B">
        <w:trPr>
          <w:trHeight w:val="533"/>
        </w:trPr>
        <w:tc>
          <w:tcPr>
            <w:tcW w:w="4420" w:type="dxa"/>
            <w:tcBorders>
              <w:top w:val="nil"/>
              <w:left w:val="single" w:sz="4" w:space="0" w:color="auto"/>
              <w:bottom w:val="single" w:sz="4" w:space="0" w:color="auto"/>
              <w:right w:val="nil"/>
            </w:tcBorders>
            <w:shd w:val="clear" w:color="auto" w:fill="auto"/>
            <w:vAlign w:val="bottom"/>
            <w:hideMark/>
          </w:tcPr>
          <w:p w14:paraId="16EF67BF" w14:textId="56D7DFEE" w:rsidR="00415320" w:rsidRPr="00D32E2D" w:rsidRDefault="00415320" w:rsidP="00F42D39">
            <w:pPr>
              <w:spacing w:before="0" w:after="0"/>
              <w:rPr>
                <w:rFonts w:cs="Arial"/>
                <w:color w:val="000000"/>
                <w:sz w:val="18"/>
                <w:szCs w:val="22"/>
              </w:rPr>
            </w:pPr>
            <w:r w:rsidRPr="00D32E2D">
              <w:rPr>
                <w:rFonts w:cs="Arial"/>
                <w:color w:val="000000"/>
                <w:sz w:val="18"/>
                <w:szCs w:val="22"/>
              </w:rPr>
              <w:t>Households with Elderly Member(s) (%, 2012)</w:t>
            </w:r>
          </w:p>
        </w:tc>
        <w:tc>
          <w:tcPr>
            <w:tcW w:w="1440" w:type="dxa"/>
            <w:tcBorders>
              <w:top w:val="nil"/>
              <w:left w:val="nil"/>
              <w:bottom w:val="single" w:sz="4" w:space="0" w:color="auto"/>
              <w:right w:val="nil"/>
            </w:tcBorders>
            <w:shd w:val="clear" w:color="auto" w:fill="auto"/>
            <w:noWrap/>
            <w:vAlign w:val="bottom"/>
            <w:hideMark/>
          </w:tcPr>
          <w:p w14:paraId="796BD995" w14:textId="77777777" w:rsidR="00415320" w:rsidRPr="00D32E2D" w:rsidRDefault="00415320" w:rsidP="00F42D39">
            <w:pPr>
              <w:spacing w:before="0" w:after="0"/>
              <w:jc w:val="right"/>
              <w:rPr>
                <w:rFonts w:cs="Arial"/>
                <w:color w:val="000000"/>
                <w:sz w:val="18"/>
                <w:szCs w:val="22"/>
              </w:rPr>
            </w:pPr>
            <w:r w:rsidRPr="00D32E2D">
              <w:rPr>
                <w:rFonts w:cs="Arial"/>
                <w:color w:val="000000"/>
                <w:sz w:val="18"/>
                <w:szCs w:val="22"/>
              </w:rPr>
              <w:t>30.2</w:t>
            </w:r>
          </w:p>
        </w:tc>
        <w:tc>
          <w:tcPr>
            <w:tcW w:w="980" w:type="dxa"/>
            <w:tcBorders>
              <w:top w:val="nil"/>
              <w:left w:val="nil"/>
              <w:bottom w:val="single" w:sz="4" w:space="0" w:color="auto"/>
              <w:right w:val="nil"/>
            </w:tcBorders>
            <w:shd w:val="clear" w:color="auto" w:fill="auto"/>
            <w:noWrap/>
            <w:vAlign w:val="bottom"/>
            <w:hideMark/>
          </w:tcPr>
          <w:p w14:paraId="3987291B" w14:textId="77777777" w:rsidR="00415320" w:rsidRPr="00D32E2D" w:rsidRDefault="00415320" w:rsidP="00F42D39">
            <w:pPr>
              <w:spacing w:before="0" w:after="0"/>
              <w:jc w:val="right"/>
              <w:rPr>
                <w:rFonts w:cs="Arial"/>
                <w:color w:val="000000"/>
                <w:sz w:val="18"/>
                <w:szCs w:val="22"/>
              </w:rPr>
            </w:pPr>
            <w:r w:rsidRPr="00D32E2D">
              <w:rPr>
                <w:rFonts w:cs="Arial"/>
                <w:color w:val="000000"/>
                <w:sz w:val="18"/>
                <w:szCs w:val="22"/>
              </w:rPr>
              <w:t>29.5</w:t>
            </w:r>
          </w:p>
        </w:tc>
        <w:tc>
          <w:tcPr>
            <w:tcW w:w="986" w:type="dxa"/>
            <w:tcBorders>
              <w:top w:val="nil"/>
              <w:left w:val="nil"/>
              <w:bottom w:val="single" w:sz="4" w:space="0" w:color="auto"/>
              <w:right w:val="nil"/>
            </w:tcBorders>
            <w:shd w:val="clear" w:color="auto" w:fill="auto"/>
            <w:noWrap/>
            <w:vAlign w:val="bottom"/>
            <w:hideMark/>
          </w:tcPr>
          <w:p w14:paraId="1140D3F1" w14:textId="77777777" w:rsidR="00415320" w:rsidRPr="00D32E2D" w:rsidRDefault="00415320" w:rsidP="00F42D39">
            <w:pPr>
              <w:spacing w:before="0" w:after="0"/>
              <w:jc w:val="right"/>
              <w:rPr>
                <w:rFonts w:cs="Arial"/>
                <w:color w:val="000000"/>
                <w:sz w:val="18"/>
                <w:szCs w:val="22"/>
              </w:rPr>
            </w:pPr>
            <w:r w:rsidRPr="00D32E2D">
              <w:rPr>
                <w:rFonts w:cs="Arial"/>
                <w:color w:val="000000"/>
                <w:sz w:val="18"/>
                <w:szCs w:val="22"/>
              </w:rPr>
              <w:t>28.2</w:t>
            </w:r>
          </w:p>
        </w:tc>
        <w:tc>
          <w:tcPr>
            <w:tcW w:w="1360" w:type="dxa"/>
            <w:tcBorders>
              <w:top w:val="nil"/>
              <w:left w:val="nil"/>
              <w:bottom w:val="single" w:sz="4" w:space="0" w:color="auto"/>
              <w:right w:val="single" w:sz="4" w:space="0" w:color="auto"/>
            </w:tcBorders>
            <w:shd w:val="clear" w:color="auto" w:fill="auto"/>
            <w:noWrap/>
            <w:vAlign w:val="bottom"/>
            <w:hideMark/>
          </w:tcPr>
          <w:p w14:paraId="7F0F83F0" w14:textId="77777777" w:rsidR="00415320" w:rsidRPr="00D32E2D" w:rsidRDefault="00415320" w:rsidP="00F42D39">
            <w:pPr>
              <w:spacing w:before="0" w:after="0"/>
              <w:jc w:val="right"/>
              <w:rPr>
                <w:rFonts w:cs="Arial"/>
                <w:color w:val="000000"/>
                <w:sz w:val="18"/>
                <w:szCs w:val="22"/>
              </w:rPr>
            </w:pPr>
            <w:r w:rsidRPr="00D32E2D">
              <w:rPr>
                <w:rFonts w:cs="Arial"/>
                <w:color w:val="000000"/>
                <w:sz w:val="18"/>
                <w:szCs w:val="22"/>
              </w:rPr>
              <w:t>31.8</w:t>
            </w:r>
          </w:p>
        </w:tc>
      </w:tr>
    </w:tbl>
    <w:p w14:paraId="328BBA10" w14:textId="77777777" w:rsidR="00415320" w:rsidRPr="00D32E2D" w:rsidRDefault="00415320" w:rsidP="00415320">
      <w:pPr>
        <w:spacing w:line="259" w:lineRule="auto"/>
        <w:rPr>
          <w:rFonts w:eastAsia="Arial" w:cs="Arial"/>
          <w:bCs/>
          <w:szCs w:val="22"/>
        </w:rPr>
      </w:pPr>
    </w:p>
    <w:p w14:paraId="356DBBD9" w14:textId="76F5BD0C" w:rsidR="00415320" w:rsidRPr="00D32E2D" w:rsidRDefault="000D453E" w:rsidP="00BC256B">
      <w:pPr>
        <w:pStyle w:val="Heading3"/>
        <w:rPr>
          <w:rFonts w:eastAsia="Arial"/>
        </w:rPr>
      </w:pPr>
      <w:bookmarkStart w:id="14" w:name="_Toc47607321"/>
      <w:r w:rsidRPr="00D32E2D">
        <w:rPr>
          <w:rFonts w:eastAsia="Arial"/>
        </w:rPr>
        <w:t xml:space="preserve">1.3. </w:t>
      </w:r>
      <w:r w:rsidR="00415320" w:rsidRPr="00D32E2D">
        <w:rPr>
          <w:rFonts w:eastAsia="Arial"/>
        </w:rPr>
        <w:t>Programmatic Policy Based Loan JA-L1080</w:t>
      </w:r>
      <w:bookmarkEnd w:id="14"/>
    </w:p>
    <w:bookmarkEnd w:id="13"/>
    <w:p w14:paraId="4DCC4AF9" w14:textId="2F38DB5D" w:rsidR="00415320" w:rsidRPr="00D32E2D" w:rsidRDefault="00415320" w:rsidP="00437D1C">
      <w:pPr>
        <w:rPr>
          <w:rFonts w:eastAsia="Arial"/>
        </w:rPr>
      </w:pPr>
      <w:r w:rsidRPr="00D32E2D">
        <w:rPr>
          <w:rFonts w:eastAsia="Arial"/>
          <w:b/>
          <w:bCs/>
        </w:rPr>
        <w:t>Component 1. Macroeconomic stability.</w:t>
      </w:r>
      <w:r w:rsidRPr="00D32E2D">
        <w:rPr>
          <w:rFonts w:eastAsia="Arial"/>
        </w:rPr>
        <w:t xml:space="preserve"> The objective is to maintain an appropriate macroeconomic policy framework congruent with the programme’s objectives and in accordance with the provisions of the Policy Letter and the Policy Matrix.</w:t>
      </w:r>
    </w:p>
    <w:p w14:paraId="316515D0" w14:textId="5A9F64AB" w:rsidR="00415320" w:rsidRPr="00D32E2D" w:rsidRDefault="00415320" w:rsidP="00437D1C">
      <w:pPr>
        <w:rPr>
          <w:rFonts w:eastAsia="Arial"/>
        </w:rPr>
      </w:pPr>
      <w:r w:rsidRPr="00D32E2D">
        <w:rPr>
          <w:rFonts w:eastAsia="Arial"/>
          <w:b/>
          <w:bCs/>
        </w:rPr>
        <w:t xml:space="preserve">Component 2. NCDs risk factors reduction. </w:t>
      </w:r>
      <w:r w:rsidRPr="00D32E2D">
        <w:rPr>
          <w:rFonts w:eastAsia="Arial"/>
        </w:rPr>
        <w:t xml:space="preserve">Policies in this component address the four principal avoidable risk factors that cause NCDs: tobacco, </w:t>
      </w:r>
      <w:r w:rsidR="003357FD" w:rsidRPr="00D32E2D">
        <w:rPr>
          <w:rFonts w:eastAsia="Arial"/>
        </w:rPr>
        <w:t xml:space="preserve">harmful use of </w:t>
      </w:r>
      <w:r w:rsidRPr="00D32E2D">
        <w:rPr>
          <w:rFonts w:eastAsia="Arial"/>
        </w:rPr>
        <w:t xml:space="preserve">alcohol, unhealthy </w:t>
      </w:r>
      <w:r w:rsidR="00424B33" w:rsidRPr="00D32E2D">
        <w:rPr>
          <w:rFonts w:eastAsia="Arial"/>
        </w:rPr>
        <w:t>diets,</w:t>
      </w:r>
      <w:r w:rsidRPr="00D32E2D">
        <w:rPr>
          <w:rFonts w:eastAsia="Arial"/>
        </w:rPr>
        <w:t xml:space="preserve"> and lack of adequate physical activity.</w:t>
      </w:r>
    </w:p>
    <w:p w14:paraId="0E02A0DC" w14:textId="68C6064D" w:rsidR="00415320" w:rsidRPr="00D32E2D" w:rsidRDefault="00134310" w:rsidP="00782A02">
      <w:pPr>
        <w:pStyle w:val="ListParagraph"/>
        <w:numPr>
          <w:ilvl w:val="0"/>
          <w:numId w:val="11"/>
        </w:numPr>
        <w:rPr>
          <w:rFonts w:eastAsia="Arial"/>
        </w:rPr>
      </w:pPr>
      <w:r w:rsidRPr="00D32E2D">
        <w:rPr>
          <w:rFonts w:eastAsia="Arial"/>
        </w:rPr>
        <w:t>The GOJ drafted a</w:t>
      </w:r>
      <w:r w:rsidR="00415320" w:rsidRPr="00D32E2D">
        <w:rPr>
          <w:rFonts w:eastAsia="Arial"/>
        </w:rPr>
        <w:t xml:space="preserve"> Comprehensive Tobacco Legislation (CTL) to keep with the treaty obligations under F</w:t>
      </w:r>
      <w:r w:rsidR="00F47A2E" w:rsidRPr="00D32E2D">
        <w:rPr>
          <w:rFonts w:eastAsia="Arial"/>
        </w:rPr>
        <w:t xml:space="preserve">ramework </w:t>
      </w:r>
      <w:r w:rsidR="00415320" w:rsidRPr="00D32E2D">
        <w:rPr>
          <w:rFonts w:eastAsia="Arial"/>
        </w:rPr>
        <w:t>C</w:t>
      </w:r>
      <w:r w:rsidR="00F47A2E" w:rsidRPr="00D32E2D">
        <w:rPr>
          <w:rFonts w:eastAsia="Arial"/>
        </w:rPr>
        <w:t xml:space="preserve">onvention &amp; </w:t>
      </w:r>
      <w:r w:rsidR="00415320" w:rsidRPr="00D32E2D">
        <w:rPr>
          <w:rFonts w:eastAsia="Arial"/>
        </w:rPr>
        <w:t>T</w:t>
      </w:r>
      <w:r w:rsidR="00F47A2E" w:rsidRPr="00D32E2D">
        <w:rPr>
          <w:rFonts w:eastAsia="Arial"/>
        </w:rPr>
        <w:t>obacco Control (FCTC)</w:t>
      </w:r>
      <w:r w:rsidR="008346F2" w:rsidRPr="00D32E2D">
        <w:rPr>
          <w:rFonts w:eastAsia="Arial"/>
        </w:rPr>
        <w:t xml:space="preserve"> to reduce the prevalence of tobacco usage (policy condition 2.1)</w:t>
      </w:r>
      <w:r w:rsidR="009C73F7" w:rsidRPr="00D32E2D">
        <w:rPr>
          <w:rFonts w:eastAsia="Arial"/>
        </w:rPr>
        <w:t>.</w:t>
      </w:r>
      <w:r w:rsidR="008346F2" w:rsidRPr="00D32E2D">
        <w:rPr>
          <w:rFonts w:eastAsia="Arial"/>
        </w:rPr>
        <w:t xml:space="preserve"> </w:t>
      </w:r>
      <w:r w:rsidR="00415320" w:rsidRPr="00D32E2D">
        <w:rPr>
          <w:rFonts w:eastAsia="Arial"/>
        </w:rPr>
        <w:t>The CTL include</w:t>
      </w:r>
      <w:r w:rsidR="00D34684" w:rsidRPr="00D32E2D">
        <w:rPr>
          <w:rFonts w:eastAsia="Arial"/>
        </w:rPr>
        <w:t>s</w:t>
      </w:r>
      <w:r w:rsidR="00415320" w:rsidRPr="00D32E2D">
        <w:rPr>
          <w:rFonts w:eastAsia="Arial"/>
        </w:rPr>
        <w:t xml:space="preserve">, among others: (i) the regulation of interactions of GOJ officials with the tobacco industry; (ii) regulation of price and </w:t>
      </w:r>
      <w:r w:rsidR="003357FD" w:rsidRPr="00D32E2D">
        <w:rPr>
          <w:rFonts w:eastAsia="Arial"/>
        </w:rPr>
        <w:t>related measures</w:t>
      </w:r>
      <w:r w:rsidR="00415320" w:rsidRPr="00D32E2D">
        <w:rPr>
          <w:rFonts w:eastAsia="Arial"/>
        </w:rPr>
        <w:t xml:space="preserve">; (iii) the full and mandatory prohibition on tobacco advertising, </w:t>
      </w:r>
      <w:r w:rsidR="00415320" w:rsidRPr="00D32E2D">
        <w:rPr>
          <w:rFonts w:eastAsia="Arial"/>
        </w:rPr>
        <w:lastRenderedPageBreak/>
        <w:t>promotion</w:t>
      </w:r>
      <w:r w:rsidR="00A65110" w:rsidRPr="00D32E2D">
        <w:rPr>
          <w:rFonts w:eastAsia="Arial"/>
        </w:rPr>
        <w:t>,</w:t>
      </w:r>
      <w:r w:rsidR="00415320" w:rsidRPr="00D32E2D">
        <w:rPr>
          <w:rFonts w:eastAsia="Arial"/>
        </w:rPr>
        <w:t xml:space="preserve"> and sponsorship, including a ban on point-of-sale tobacco displays; and (iv) compliance with the Protocol to Eliminate Illicit Trade on Tobacco Products. The first operation support</w:t>
      </w:r>
      <w:r w:rsidR="005A680C" w:rsidRPr="00D32E2D">
        <w:rPr>
          <w:rFonts w:eastAsia="Arial"/>
        </w:rPr>
        <w:t>ed</w:t>
      </w:r>
      <w:r w:rsidR="00415320" w:rsidRPr="00D32E2D">
        <w:rPr>
          <w:rFonts w:eastAsia="Arial"/>
        </w:rPr>
        <w:t xml:space="preserve"> </w:t>
      </w:r>
      <w:r w:rsidR="00A820D5" w:rsidRPr="00D32E2D">
        <w:rPr>
          <w:rFonts w:eastAsia="Arial"/>
        </w:rPr>
        <w:t xml:space="preserve">the </w:t>
      </w:r>
      <w:r w:rsidR="00415320" w:rsidRPr="00D32E2D">
        <w:rPr>
          <w:rFonts w:eastAsia="Arial"/>
        </w:rPr>
        <w:t xml:space="preserve">Cabinet´s mandate to </w:t>
      </w:r>
      <w:r w:rsidR="00FE0CC3" w:rsidRPr="00D32E2D">
        <w:rPr>
          <w:rFonts w:eastAsia="Arial"/>
        </w:rPr>
        <w:t xml:space="preserve">authorise the drafting of </w:t>
      </w:r>
      <w:r w:rsidR="00415320" w:rsidRPr="00D32E2D">
        <w:rPr>
          <w:rFonts w:eastAsia="Arial"/>
        </w:rPr>
        <w:t xml:space="preserve">the Bill, while the second operation </w:t>
      </w:r>
      <w:r w:rsidR="005C1699" w:rsidRPr="00D32E2D">
        <w:rPr>
          <w:rFonts w:eastAsia="Arial"/>
        </w:rPr>
        <w:t>upheld</w:t>
      </w:r>
      <w:r w:rsidR="00415320" w:rsidRPr="00D32E2D">
        <w:rPr>
          <w:rFonts w:eastAsia="Arial"/>
        </w:rPr>
        <w:t xml:space="preserve"> a draft bill submitted to the Legislative </w:t>
      </w:r>
      <w:r w:rsidR="00FE0CC3" w:rsidRPr="00D32E2D">
        <w:rPr>
          <w:rFonts w:eastAsia="Arial"/>
        </w:rPr>
        <w:t>Sub-</w:t>
      </w:r>
      <w:r w:rsidR="00415320" w:rsidRPr="00D32E2D">
        <w:rPr>
          <w:rFonts w:eastAsia="Arial"/>
        </w:rPr>
        <w:t xml:space="preserve">Committee of Cabinet, </w:t>
      </w:r>
      <w:r w:rsidR="00A820D5" w:rsidRPr="00D32E2D">
        <w:rPr>
          <w:rFonts w:eastAsia="Arial"/>
        </w:rPr>
        <w:t>and</w:t>
      </w:r>
      <w:r w:rsidR="00415320" w:rsidRPr="00D32E2D">
        <w:rPr>
          <w:rFonts w:eastAsia="Arial"/>
        </w:rPr>
        <w:t xml:space="preserve"> </w:t>
      </w:r>
      <w:r w:rsidR="00FE0CC3" w:rsidRPr="00D32E2D">
        <w:rPr>
          <w:rFonts w:eastAsia="Arial"/>
        </w:rPr>
        <w:t>a submission to Cabinet seeking approval for accession to</w:t>
      </w:r>
      <w:r w:rsidR="00415320" w:rsidRPr="00D32E2D">
        <w:rPr>
          <w:rFonts w:eastAsia="Arial"/>
        </w:rPr>
        <w:t xml:space="preserve"> the Protocol to Eliminate Illicit Trade in Tobacco Products, which is a part of the FCTC.</w:t>
      </w:r>
    </w:p>
    <w:p w14:paraId="15E1D8AA" w14:textId="14712FEA" w:rsidR="00415320" w:rsidRPr="00D32E2D" w:rsidRDefault="006C47DC" w:rsidP="00782A02">
      <w:pPr>
        <w:pStyle w:val="ListParagraph"/>
        <w:numPr>
          <w:ilvl w:val="0"/>
          <w:numId w:val="11"/>
        </w:numPr>
        <w:rPr>
          <w:rFonts w:eastAsia="Arial"/>
        </w:rPr>
      </w:pPr>
      <w:r w:rsidRPr="00D32E2D">
        <w:rPr>
          <w:rFonts w:eastAsia="Arial"/>
        </w:rPr>
        <w:t xml:space="preserve">The MOHW developed and approved </w:t>
      </w:r>
      <w:r w:rsidR="00415320" w:rsidRPr="00D32E2D">
        <w:rPr>
          <w:rFonts w:eastAsia="Arial"/>
        </w:rPr>
        <w:t xml:space="preserve">a policy paper </w:t>
      </w:r>
      <w:r w:rsidRPr="00D32E2D">
        <w:rPr>
          <w:rFonts w:eastAsia="Arial"/>
        </w:rPr>
        <w:t>t</w:t>
      </w:r>
      <w:r w:rsidR="00A81131" w:rsidRPr="00D32E2D">
        <w:rPr>
          <w:rFonts w:eastAsia="Arial"/>
        </w:rPr>
        <w:t>o reduce the harmful use of alcohol (policy condition 2.2)</w:t>
      </w:r>
      <w:r w:rsidR="00415320" w:rsidRPr="00D32E2D">
        <w:rPr>
          <w:rFonts w:eastAsia="Arial"/>
        </w:rPr>
        <w:t xml:space="preserve">. The policy </w:t>
      </w:r>
      <w:r w:rsidRPr="00D32E2D">
        <w:rPr>
          <w:rFonts w:eastAsia="Arial"/>
        </w:rPr>
        <w:t xml:space="preserve">is </w:t>
      </w:r>
      <w:r w:rsidR="00415320" w:rsidRPr="00D32E2D">
        <w:rPr>
          <w:rFonts w:eastAsia="Arial"/>
        </w:rPr>
        <w:t>aligned to WHO guidelines and best</w:t>
      </w:r>
      <w:r w:rsidR="00415320" w:rsidRPr="00D32E2D">
        <w:rPr>
          <w:rFonts w:eastAsia="Arial"/>
        </w:rPr>
        <w:noBreakHyphen/>
        <w:t>buys regarding advertisement and sponsorship, availability</w:t>
      </w:r>
      <w:r w:rsidR="00FC7E42" w:rsidRPr="00D32E2D">
        <w:rPr>
          <w:rFonts w:eastAsia="Arial"/>
        </w:rPr>
        <w:t>,</w:t>
      </w:r>
      <w:r w:rsidR="00415320" w:rsidRPr="00D32E2D">
        <w:rPr>
          <w:rFonts w:eastAsia="Arial"/>
        </w:rPr>
        <w:t xml:space="preserve"> and pricing. The first operation support</w:t>
      </w:r>
      <w:r w:rsidRPr="00D32E2D">
        <w:rPr>
          <w:rFonts w:eastAsia="Arial"/>
        </w:rPr>
        <w:t>ed</w:t>
      </w:r>
      <w:r w:rsidR="00415320" w:rsidRPr="00D32E2D">
        <w:rPr>
          <w:rFonts w:eastAsia="Arial"/>
        </w:rPr>
        <w:t xml:space="preserve"> the development and approval </w:t>
      </w:r>
      <w:r w:rsidR="00971095" w:rsidRPr="00D32E2D">
        <w:rPr>
          <w:rFonts w:eastAsia="Arial"/>
        </w:rPr>
        <w:t>MOHW</w:t>
      </w:r>
      <w:r w:rsidR="007A7940" w:rsidRPr="00D32E2D">
        <w:rPr>
          <w:rFonts w:eastAsia="Arial"/>
        </w:rPr>
        <w:t xml:space="preserve"> </w:t>
      </w:r>
      <w:r w:rsidR="00415320" w:rsidRPr="00D32E2D">
        <w:rPr>
          <w:rFonts w:eastAsia="Arial"/>
        </w:rPr>
        <w:t xml:space="preserve">of the Concept Paper </w:t>
      </w:r>
      <w:r w:rsidR="00415320" w:rsidRPr="00D32E2D">
        <w:t>for the Reduction of Harmful Use of Alcohol Policy</w:t>
      </w:r>
      <w:r w:rsidRPr="00D32E2D">
        <w:t xml:space="preserve">. The </w:t>
      </w:r>
      <w:r w:rsidR="00415320" w:rsidRPr="00D32E2D">
        <w:rPr>
          <w:rFonts w:eastAsia="Arial"/>
        </w:rPr>
        <w:t xml:space="preserve">second operation </w:t>
      </w:r>
      <w:r w:rsidRPr="00D32E2D">
        <w:rPr>
          <w:rFonts w:eastAsia="Arial"/>
        </w:rPr>
        <w:t xml:space="preserve">upheld </w:t>
      </w:r>
      <w:r w:rsidR="00FE0CC3" w:rsidRPr="00D32E2D">
        <w:rPr>
          <w:rFonts w:eastAsia="Arial"/>
        </w:rPr>
        <w:t xml:space="preserve">the development and </w:t>
      </w:r>
      <w:r w:rsidR="00415320" w:rsidRPr="00D32E2D">
        <w:rPr>
          <w:rFonts w:eastAsia="Arial"/>
        </w:rPr>
        <w:t xml:space="preserve">approval by the </w:t>
      </w:r>
      <w:r w:rsidR="00971095" w:rsidRPr="00D32E2D">
        <w:rPr>
          <w:rFonts w:eastAsia="Arial"/>
        </w:rPr>
        <w:t>MOHW</w:t>
      </w:r>
      <w:r w:rsidR="00415320" w:rsidRPr="00D32E2D">
        <w:rPr>
          <w:rFonts w:eastAsia="Arial"/>
        </w:rPr>
        <w:t xml:space="preserve"> and submission to the Human Resources </w:t>
      </w:r>
      <w:r w:rsidR="00FE0CC3" w:rsidRPr="00D32E2D">
        <w:rPr>
          <w:rFonts w:eastAsia="Arial"/>
        </w:rPr>
        <w:t>Sub-</w:t>
      </w:r>
      <w:r w:rsidR="00415320" w:rsidRPr="00D32E2D">
        <w:rPr>
          <w:rFonts w:eastAsia="Arial"/>
        </w:rPr>
        <w:t xml:space="preserve">Committee of Cabinet of the </w:t>
      </w:r>
      <w:r w:rsidR="00FE0CC3" w:rsidRPr="00D32E2D">
        <w:rPr>
          <w:rFonts w:eastAsia="Arial"/>
        </w:rPr>
        <w:t>draft National Policy</w:t>
      </w:r>
      <w:r w:rsidR="00415320" w:rsidRPr="00D32E2D">
        <w:rPr>
          <w:rFonts w:eastAsia="Arial"/>
        </w:rPr>
        <w:t xml:space="preserve"> for the Reduction of Harmful Use of Alcohol.</w:t>
      </w:r>
    </w:p>
    <w:p w14:paraId="1441A2D7" w14:textId="45EE2961" w:rsidR="00415320" w:rsidRPr="00D32E2D" w:rsidRDefault="004C549B" w:rsidP="00782A02">
      <w:pPr>
        <w:pStyle w:val="ListParagraph"/>
        <w:numPr>
          <w:ilvl w:val="0"/>
          <w:numId w:val="11"/>
        </w:numPr>
        <w:rPr>
          <w:rFonts w:eastAsia="Arial" w:cs="Arial"/>
          <w:szCs w:val="22"/>
        </w:rPr>
      </w:pPr>
      <w:r w:rsidRPr="00D32E2D">
        <w:rPr>
          <w:rFonts w:eastAsia="Arial" w:cs="Arial"/>
          <w:szCs w:val="22"/>
        </w:rPr>
        <w:t xml:space="preserve">The MOHW </w:t>
      </w:r>
      <w:r w:rsidR="00415320" w:rsidRPr="00D32E2D">
        <w:rPr>
          <w:rFonts w:eastAsia="Arial" w:cs="Arial"/>
          <w:szCs w:val="22"/>
        </w:rPr>
        <w:t xml:space="preserve">developed, </w:t>
      </w:r>
      <w:r w:rsidR="00424B33" w:rsidRPr="00D32E2D">
        <w:rPr>
          <w:rFonts w:eastAsia="Arial" w:cs="Arial"/>
          <w:szCs w:val="22"/>
        </w:rPr>
        <w:t>approved,</w:t>
      </w:r>
      <w:r w:rsidR="00415320" w:rsidRPr="00D32E2D">
        <w:rPr>
          <w:rFonts w:eastAsia="Arial" w:cs="Arial"/>
          <w:szCs w:val="22"/>
        </w:rPr>
        <w:t xml:space="preserve"> and implemented</w:t>
      </w:r>
      <w:r w:rsidR="00372080" w:rsidRPr="00D32E2D">
        <w:rPr>
          <w:rFonts w:eastAsia="Arial" w:cs="Arial"/>
          <w:szCs w:val="22"/>
        </w:rPr>
        <w:t xml:space="preserve"> a </w:t>
      </w:r>
      <w:r w:rsidR="00AB30B6" w:rsidRPr="00D32E2D">
        <w:rPr>
          <w:rFonts w:eastAsia="Arial" w:cs="Arial"/>
          <w:szCs w:val="22"/>
        </w:rPr>
        <w:t>P</w:t>
      </w:r>
      <w:r w:rsidR="00372080" w:rsidRPr="00D32E2D">
        <w:rPr>
          <w:rFonts w:eastAsia="Arial" w:cs="Arial"/>
          <w:szCs w:val="22"/>
        </w:rPr>
        <w:t>lan within the Jamaica Moves at School Initiative to</w:t>
      </w:r>
      <w:r w:rsidRPr="00D32E2D">
        <w:rPr>
          <w:rFonts w:eastAsia="Arial" w:cs="Arial"/>
          <w:szCs w:val="22"/>
        </w:rPr>
        <w:t xml:space="preserve"> promote healthy eating habits, physical activity, and age</w:t>
      </w:r>
      <w:r w:rsidR="00AB30B6" w:rsidRPr="00D32E2D">
        <w:rPr>
          <w:rFonts w:eastAsia="Arial" w:cs="Arial"/>
          <w:szCs w:val="22"/>
        </w:rPr>
        <w:t>-</w:t>
      </w:r>
      <w:r w:rsidRPr="00D32E2D">
        <w:rPr>
          <w:rFonts w:eastAsia="Arial" w:cs="Arial"/>
          <w:szCs w:val="22"/>
        </w:rPr>
        <w:t>appropriate health check-ups (policy condition 2.3)</w:t>
      </w:r>
      <w:r w:rsidR="00415320" w:rsidRPr="00D32E2D">
        <w:rPr>
          <w:rFonts w:eastAsia="Arial" w:cs="Arial"/>
          <w:szCs w:val="22"/>
        </w:rPr>
        <w:t xml:space="preserve">. </w:t>
      </w:r>
      <w:r w:rsidR="00372080" w:rsidRPr="00D32E2D">
        <w:rPr>
          <w:rFonts w:eastAsia="Arial" w:cs="Arial"/>
          <w:szCs w:val="22"/>
        </w:rPr>
        <w:t xml:space="preserve">The Plan </w:t>
      </w:r>
      <w:r w:rsidR="00415320" w:rsidRPr="00D32E2D">
        <w:rPr>
          <w:rFonts w:eastAsia="Arial" w:cs="Arial"/>
          <w:szCs w:val="22"/>
        </w:rPr>
        <w:t>include</w:t>
      </w:r>
      <w:r w:rsidR="00372080" w:rsidRPr="00D32E2D">
        <w:rPr>
          <w:rFonts w:eastAsia="Arial" w:cs="Arial"/>
          <w:szCs w:val="22"/>
        </w:rPr>
        <w:t>s</w:t>
      </w:r>
      <w:r w:rsidR="00415320" w:rsidRPr="00D32E2D">
        <w:rPr>
          <w:rFonts w:eastAsia="Arial" w:cs="Arial"/>
          <w:szCs w:val="22"/>
        </w:rPr>
        <w:t xml:space="preserve"> provisions to limit the sugar content of beverages offered at school</w:t>
      </w:r>
      <w:r w:rsidR="00B43959" w:rsidRPr="00D32E2D">
        <w:rPr>
          <w:rFonts w:eastAsia="Arial" w:cs="Arial"/>
          <w:szCs w:val="22"/>
        </w:rPr>
        <w:t>,</w:t>
      </w:r>
      <w:r w:rsidR="00415320" w:rsidRPr="00D32E2D">
        <w:rPr>
          <w:rFonts w:eastAsia="Arial" w:cs="Arial"/>
          <w:szCs w:val="22"/>
        </w:rPr>
        <w:t xml:space="preserve"> facilitate increased physical activities amongst students</w:t>
      </w:r>
      <w:r w:rsidR="00B43959" w:rsidRPr="00D32E2D">
        <w:rPr>
          <w:rFonts w:eastAsia="Arial" w:cs="Arial"/>
          <w:szCs w:val="22"/>
        </w:rPr>
        <w:t>,</w:t>
      </w:r>
      <w:r w:rsidR="00415320" w:rsidRPr="00D32E2D">
        <w:rPr>
          <w:rFonts w:eastAsia="Arial" w:cs="Arial"/>
          <w:szCs w:val="22"/>
        </w:rPr>
        <w:t xml:space="preserve"> an</w:t>
      </w:r>
      <w:r w:rsidR="00B43959" w:rsidRPr="00D32E2D">
        <w:rPr>
          <w:rFonts w:eastAsia="Arial" w:cs="Arial"/>
          <w:szCs w:val="22"/>
        </w:rPr>
        <w:t xml:space="preserve">d </w:t>
      </w:r>
      <w:r w:rsidR="00415320" w:rsidRPr="00D32E2D">
        <w:rPr>
          <w:rFonts w:eastAsia="Arial" w:cs="Arial"/>
          <w:szCs w:val="22"/>
        </w:rPr>
        <w:t>strengthen capacity at schools to identify and respond to at-risk students for NCDs. The first operation support</w:t>
      </w:r>
      <w:r w:rsidR="00372080" w:rsidRPr="00D32E2D">
        <w:rPr>
          <w:rFonts w:eastAsia="Arial" w:cs="Arial"/>
          <w:szCs w:val="22"/>
        </w:rPr>
        <w:t>ed</w:t>
      </w:r>
      <w:r w:rsidR="00415320" w:rsidRPr="00D32E2D">
        <w:rPr>
          <w:rFonts w:eastAsia="Arial" w:cs="Arial"/>
          <w:szCs w:val="22"/>
        </w:rPr>
        <w:t xml:space="preserve"> the development and approval of the plan to implement the initiative</w:t>
      </w:r>
      <w:r w:rsidR="00372080" w:rsidRPr="00D32E2D">
        <w:rPr>
          <w:rFonts w:eastAsia="Arial" w:cs="Arial"/>
          <w:szCs w:val="22"/>
        </w:rPr>
        <w:t xml:space="preserve">. The </w:t>
      </w:r>
      <w:r w:rsidR="00415320" w:rsidRPr="00D32E2D">
        <w:rPr>
          <w:rFonts w:eastAsia="Arial" w:cs="Arial"/>
          <w:szCs w:val="22"/>
        </w:rPr>
        <w:t>second operation support</w:t>
      </w:r>
      <w:r w:rsidR="00372080" w:rsidRPr="00D32E2D">
        <w:rPr>
          <w:rFonts w:eastAsia="Arial" w:cs="Arial"/>
          <w:szCs w:val="22"/>
        </w:rPr>
        <w:t>ed</w:t>
      </w:r>
      <w:r w:rsidR="00415320" w:rsidRPr="00D32E2D">
        <w:rPr>
          <w:rFonts w:eastAsia="Arial" w:cs="Arial"/>
          <w:szCs w:val="22"/>
        </w:rPr>
        <w:t xml:space="preserve"> its implementation.</w:t>
      </w:r>
    </w:p>
    <w:p w14:paraId="3510C49C" w14:textId="55289D06" w:rsidR="00415320" w:rsidRPr="00D32E2D" w:rsidRDefault="00D16FE2" w:rsidP="00782A02">
      <w:pPr>
        <w:pStyle w:val="ListParagraph"/>
        <w:numPr>
          <w:ilvl w:val="0"/>
          <w:numId w:val="11"/>
        </w:numPr>
        <w:rPr>
          <w:rFonts w:eastAsia="Arial" w:cs="Arial"/>
          <w:szCs w:val="22"/>
        </w:rPr>
      </w:pPr>
      <w:r w:rsidRPr="00D32E2D">
        <w:rPr>
          <w:rFonts w:eastAsia="Arial" w:cs="Arial"/>
          <w:szCs w:val="22"/>
        </w:rPr>
        <w:t>The MOHW approved and implemented an Infant and Young Child Feeding Policy and Strategic Plan (IYCFPSP) t</w:t>
      </w:r>
      <w:r w:rsidR="00415320" w:rsidRPr="00D32E2D">
        <w:rPr>
          <w:rFonts w:eastAsia="Arial" w:cs="Arial"/>
          <w:szCs w:val="22"/>
        </w:rPr>
        <w:t>o reduce malnutrition in infancy and childhood (policy condition 2.4). The policy include</w:t>
      </w:r>
      <w:r w:rsidR="00F40015" w:rsidRPr="00D32E2D">
        <w:rPr>
          <w:rFonts w:eastAsia="Arial" w:cs="Arial"/>
          <w:szCs w:val="22"/>
        </w:rPr>
        <w:t>s</w:t>
      </w:r>
      <w:r w:rsidR="00415320" w:rsidRPr="00D32E2D">
        <w:rPr>
          <w:rFonts w:eastAsia="Arial" w:cs="Arial"/>
          <w:szCs w:val="22"/>
        </w:rPr>
        <w:t xml:space="preserve"> measures to address deficiencies and obstacles experienced in infant and young child nutrition</w:t>
      </w:r>
      <w:r w:rsidR="00047F01" w:rsidRPr="00D32E2D">
        <w:rPr>
          <w:rFonts w:eastAsia="Arial" w:cs="Arial"/>
          <w:szCs w:val="22"/>
        </w:rPr>
        <w:t>. It also p</w:t>
      </w:r>
      <w:r w:rsidR="00415320" w:rsidRPr="00D32E2D">
        <w:rPr>
          <w:rFonts w:eastAsia="Arial" w:cs="Arial"/>
          <w:szCs w:val="22"/>
        </w:rPr>
        <w:t>rovide</w:t>
      </w:r>
      <w:r w:rsidR="00047F01" w:rsidRPr="00D32E2D">
        <w:rPr>
          <w:rFonts w:eastAsia="Arial" w:cs="Arial"/>
          <w:szCs w:val="22"/>
        </w:rPr>
        <w:t>s</w:t>
      </w:r>
      <w:r w:rsidR="00415320" w:rsidRPr="00D32E2D">
        <w:rPr>
          <w:rFonts w:eastAsia="Arial" w:cs="Arial"/>
          <w:szCs w:val="22"/>
        </w:rPr>
        <w:t xml:space="preserve"> the context for the development of innovative approaches to influence the determinants of nutritional behaviour</w:t>
      </w:r>
      <w:r w:rsidR="00047F01" w:rsidRPr="00D32E2D">
        <w:rPr>
          <w:rFonts w:eastAsia="Arial" w:cs="Arial"/>
          <w:szCs w:val="22"/>
        </w:rPr>
        <w:t xml:space="preserve">. These </w:t>
      </w:r>
      <w:r w:rsidR="00DF12DE" w:rsidRPr="00D32E2D">
        <w:rPr>
          <w:rFonts w:eastAsia="Arial" w:cs="Arial"/>
          <w:szCs w:val="22"/>
        </w:rPr>
        <w:t>approaches comprise</w:t>
      </w:r>
      <w:r w:rsidR="00047F01" w:rsidRPr="00D32E2D">
        <w:rPr>
          <w:rFonts w:eastAsia="Arial" w:cs="Arial"/>
          <w:szCs w:val="22"/>
        </w:rPr>
        <w:t xml:space="preserve"> e</w:t>
      </w:r>
      <w:r w:rsidR="00415320" w:rsidRPr="00D32E2D">
        <w:rPr>
          <w:rFonts w:eastAsia="Arial" w:cs="Arial"/>
          <w:szCs w:val="22"/>
        </w:rPr>
        <w:t xml:space="preserve">xclusive breastfeeding during the first six months of an infant’s life, adequate complementary feeding, </w:t>
      </w:r>
      <w:r w:rsidR="00DF12DE" w:rsidRPr="00D32E2D">
        <w:rPr>
          <w:rFonts w:eastAsia="Arial" w:cs="Arial"/>
          <w:szCs w:val="22"/>
        </w:rPr>
        <w:t xml:space="preserve">and </w:t>
      </w:r>
      <w:r w:rsidR="00415320" w:rsidRPr="00D32E2D">
        <w:rPr>
          <w:rFonts w:eastAsia="Arial" w:cs="Arial"/>
          <w:szCs w:val="22"/>
        </w:rPr>
        <w:t xml:space="preserve">support to the mother and the </w:t>
      </w:r>
      <w:r w:rsidR="00B50E62" w:rsidRPr="00D32E2D">
        <w:rPr>
          <w:rFonts w:eastAsia="Arial" w:cs="Arial"/>
          <w:szCs w:val="22"/>
        </w:rPr>
        <w:t>Baby</w:t>
      </w:r>
      <w:r w:rsidR="00427EA5" w:rsidRPr="00D32E2D">
        <w:rPr>
          <w:rFonts w:eastAsia="Arial" w:cs="Arial"/>
          <w:szCs w:val="22"/>
        </w:rPr>
        <w:t>-</w:t>
      </w:r>
      <w:r w:rsidR="00B50E62" w:rsidRPr="00D32E2D">
        <w:rPr>
          <w:rFonts w:eastAsia="Arial" w:cs="Arial"/>
          <w:szCs w:val="22"/>
        </w:rPr>
        <w:t>Friendly Hospital Initiative (</w:t>
      </w:r>
      <w:r w:rsidR="00415320" w:rsidRPr="00D32E2D">
        <w:rPr>
          <w:rFonts w:eastAsia="Arial" w:cs="Arial"/>
          <w:szCs w:val="22"/>
        </w:rPr>
        <w:t>BFHI</w:t>
      </w:r>
      <w:r w:rsidR="00B50E62" w:rsidRPr="00D32E2D">
        <w:rPr>
          <w:rFonts w:eastAsia="Arial" w:cs="Arial"/>
          <w:szCs w:val="22"/>
        </w:rPr>
        <w:t>)</w:t>
      </w:r>
      <w:r w:rsidR="00415320" w:rsidRPr="00D32E2D">
        <w:rPr>
          <w:rFonts w:eastAsia="Arial" w:cs="Arial"/>
          <w:szCs w:val="22"/>
        </w:rPr>
        <w:t>. The first operation support</w:t>
      </w:r>
      <w:r w:rsidR="00DF12DE" w:rsidRPr="00D32E2D">
        <w:rPr>
          <w:rFonts w:eastAsia="Arial" w:cs="Arial"/>
          <w:szCs w:val="22"/>
        </w:rPr>
        <w:t>ed</w:t>
      </w:r>
      <w:r w:rsidR="00415320" w:rsidRPr="00D32E2D">
        <w:rPr>
          <w:rFonts w:eastAsia="Arial" w:cs="Arial"/>
          <w:szCs w:val="22"/>
        </w:rPr>
        <w:t xml:space="preserve"> the </w:t>
      </w:r>
      <w:r w:rsidR="005A5FD7" w:rsidRPr="00D32E2D">
        <w:rPr>
          <w:rFonts w:eastAsia="Arial" w:cs="Arial"/>
          <w:szCs w:val="22"/>
        </w:rPr>
        <w:t xml:space="preserve">policy’s </w:t>
      </w:r>
      <w:r w:rsidR="00415320" w:rsidRPr="00D32E2D">
        <w:rPr>
          <w:rFonts w:eastAsia="Arial" w:cs="Arial"/>
          <w:szCs w:val="22"/>
        </w:rPr>
        <w:t xml:space="preserve">approval by the </w:t>
      </w:r>
      <w:r w:rsidR="00971095" w:rsidRPr="00D32E2D">
        <w:rPr>
          <w:rFonts w:eastAsia="Arial" w:cs="Arial"/>
          <w:szCs w:val="22"/>
        </w:rPr>
        <w:t>MOHW</w:t>
      </w:r>
      <w:r w:rsidR="00415320" w:rsidRPr="00D32E2D">
        <w:rPr>
          <w:rFonts w:eastAsia="Arial" w:cs="Arial"/>
          <w:szCs w:val="22"/>
        </w:rPr>
        <w:t xml:space="preserve"> and submission to Cabinet</w:t>
      </w:r>
      <w:r w:rsidR="00C546A6" w:rsidRPr="00D32E2D">
        <w:rPr>
          <w:rFonts w:eastAsia="Arial" w:cs="Arial"/>
          <w:szCs w:val="22"/>
        </w:rPr>
        <w:t>.</w:t>
      </w:r>
      <w:r w:rsidR="00415320" w:rsidRPr="00D32E2D">
        <w:rPr>
          <w:rFonts w:eastAsia="Arial" w:cs="Arial"/>
          <w:szCs w:val="22"/>
        </w:rPr>
        <w:t xml:space="preserve"> </w:t>
      </w:r>
      <w:r w:rsidR="005E4C06" w:rsidRPr="00D32E2D">
        <w:rPr>
          <w:rFonts w:eastAsia="Arial" w:cs="Arial"/>
          <w:szCs w:val="22"/>
        </w:rPr>
        <w:t>T</w:t>
      </w:r>
      <w:r w:rsidR="00415320" w:rsidRPr="00D32E2D">
        <w:rPr>
          <w:rFonts w:eastAsia="Arial" w:cs="Arial"/>
          <w:szCs w:val="22"/>
        </w:rPr>
        <w:t>he second operation support</w:t>
      </w:r>
      <w:r w:rsidR="006F3CD8" w:rsidRPr="00D32E2D">
        <w:rPr>
          <w:rFonts w:eastAsia="Arial" w:cs="Arial"/>
          <w:szCs w:val="22"/>
        </w:rPr>
        <w:t>ed</w:t>
      </w:r>
      <w:r w:rsidR="00415320" w:rsidRPr="00D32E2D">
        <w:rPr>
          <w:rFonts w:eastAsia="Arial" w:cs="Arial"/>
          <w:szCs w:val="22"/>
        </w:rPr>
        <w:t xml:space="preserve"> the early implementation of the policy in key areas such as BFHI accreditation, community support groups and certification of key personnel.</w:t>
      </w:r>
    </w:p>
    <w:p w14:paraId="5F53587B" w14:textId="7541FC65" w:rsidR="00415320" w:rsidRPr="00D32E2D" w:rsidRDefault="00415320" w:rsidP="00782A02">
      <w:pPr>
        <w:pStyle w:val="ListParagraph"/>
        <w:numPr>
          <w:ilvl w:val="0"/>
          <w:numId w:val="11"/>
        </w:numPr>
        <w:rPr>
          <w:rFonts w:eastAsia="Arial" w:cs="Arial"/>
          <w:szCs w:val="22"/>
        </w:rPr>
      </w:pPr>
      <w:r w:rsidRPr="00D32E2D">
        <w:rPr>
          <w:rFonts w:eastAsia="Arial" w:cs="Arial"/>
          <w:szCs w:val="22"/>
        </w:rPr>
        <w:t xml:space="preserve">To promote healthy eating and to provide useful, </w:t>
      </w:r>
      <w:r w:rsidR="008C1310" w:rsidRPr="00D32E2D">
        <w:rPr>
          <w:rFonts w:eastAsia="Arial" w:cs="Arial"/>
          <w:szCs w:val="22"/>
        </w:rPr>
        <w:t>actionable,</w:t>
      </w:r>
      <w:r w:rsidRPr="00D32E2D">
        <w:rPr>
          <w:rFonts w:eastAsia="Arial" w:cs="Arial"/>
          <w:szCs w:val="22"/>
        </w:rPr>
        <w:t xml:space="preserve"> and timely information (policy condition 2.5), the second operation support</w:t>
      </w:r>
      <w:r w:rsidR="008C1310" w:rsidRPr="00D32E2D">
        <w:rPr>
          <w:rFonts w:eastAsia="Arial" w:cs="Arial"/>
          <w:szCs w:val="22"/>
        </w:rPr>
        <w:t>s</w:t>
      </w:r>
      <w:r w:rsidRPr="00D32E2D">
        <w:rPr>
          <w:rFonts w:eastAsia="Arial" w:cs="Arial"/>
          <w:szCs w:val="22"/>
        </w:rPr>
        <w:t xml:space="preserve"> the implementation of a social marketing campaign to promote behavioural change as related to eating habits in support of the implementation of the National Food</w:t>
      </w:r>
      <w:r w:rsidRPr="00D32E2D">
        <w:rPr>
          <w:rFonts w:eastAsia="Arial" w:cs="Arial"/>
          <w:szCs w:val="22"/>
        </w:rPr>
        <w:noBreakHyphen/>
        <w:t>based Dietary Guidelines.</w:t>
      </w:r>
    </w:p>
    <w:p w14:paraId="1B764F49" w14:textId="257BE6E9" w:rsidR="00415320" w:rsidRPr="00D32E2D" w:rsidRDefault="00415320" w:rsidP="00437D1C">
      <w:pPr>
        <w:rPr>
          <w:rFonts w:eastAsia="Arial"/>
        </w:rPr>
      </w:pPr>
      <w:bookmarkStart w:id="15" w:name="_Hlk517615488"/>
      <w:r w:rsidRPr="00D32E2D">
        <w:rPr>
          <w:rFonts w:eastAsia="Arial"/>
          <w:b/>
          <w:bCs/>
        </w:rPr>
        <w:t>Component 3. NCD early detection and clinical management.</w:t>
      </w:r>
      <w:r w:rsidRPr="00D32E2D">
        <w:rPr>
          <w:rFonts w:eastAsia="Arial"/>
        </w:rPr>
        <w:t xml:space="preserve"> This component include</w:t>
      </w:r>
      <w:r w:rsidR="008C1310" w:rsidRPr="00D32E2D">
        <w:rPr>
          <w:rFonts w:eastAsia="Arial"/>
        </w:rPr>
        <w:t>s</w:t>
      </w:r>
      <w:r w:rsidRPr="00D32E2D">
        <w:rPr>
          <w:rFonts w:eastAsia="Arial"/>
        </w:rPr>
        <w:t xml:space="preserve"> regulatory and policy measures to improve the management of NCDs.</w:t>
      </w:r>
    </w:p>
    <w:p w14:paraId="24CC6CE0" w14:textId="5C82C66B" w:rsidR="00415320" w:rsidRPr="00D32E2D" w:rsidRDefault="00E86FA0" w:rsidP="00782A02">
      <w:pPr>
        <w:pStyle w:val="ListParagraph"/>
        <w:numPr>
          <w:ilvl w:val="0"/>
          <w:numId w:val="12"/>
        </w:numPr>
        <w:rPr>
          <w:rFonts w:eastAsia="Arial"/>
        </w:rPr>
      </w:pPr>
      <w:r w:rsidRPr="00D32E2D">
        <w:rPr>
          <w:rFonts w:eastAsia="Arial"/>
        </w:rPr>
        <w:t>The MOHW commissioned the development of a</w:t>
      </w:r>
      <w:r w:rsidR="00415320" w:rsidRPr="00D32E2D">
        <w:rPr>
          <w:rFonts w:eastAsia="Arial"/>
        </w:rPr>
        <w:t xml:space="preserve"> CCM Concept Paper and Policy for the risk factor reduction, early detection, treatment, diagnosis</w:t>
      </w:r>
      <w:r w:rsidR="00A25977" w:rsidRPr="00D32E2D">
        <w:rPr>
          <w:rFonts w:eastAsia="Arial"/>
        </w:rPr>
        <w:t>,</w:t>
      </w:r>
      <w:r w:rsidR="00415320" w:rsidRPr="00D32E2D">
        <w:rPr>
          <w:rFonts w:eastAsia="Arial"/>
        </w:rPr>
        <w:t xml:space="preserve"> and support for </w:t>
      </w:r>
      <w:r w:rsidR="00B50E62" w:rsidRPr="00D32E2D">
        <w:rPr>
          <w:rFonts w:eastAsia="Arial"/>
        </w:rPr>
        <w:t>priority NCDs (</w:t>
      </w:r>
      <w:r w:rsidR="00415320" w:rsidRPr="00D32E2D">
        <w:rPr>
          <w:rFonts w:eastAsia="Arial"/>
        </w:rPr>
        <w:t>cardiovascular disease, diabetes, cervical, breast, prostate and colorectal cancer, depression</w:t>
      </w:r>
      <w:r w:rsidR="00A25977" w:rsidRPr="00D32E2D">
        <w:rPr>
          <w:rFonts w:eastAsia="Arial"/>
        </w:rPr>
        <w:t>,</w:t>
      </w:r>
      <w:r w:rsidR="00415320" w:rsidRPr="00D32E2D">
        <w:rPr>
          <w:rFonts w:eastAsia="Arial"/>
        </w:rPr>
        <w:t xml:space="preserve"> and asthma</w:t>
      </w:r>
      <w:r w:rsidR="00B50E62" w:rsidRPr="00D32E2D">
        <w:rPr>
          <w:rFonts w:eastAsia="Arial"/>
        </w:rPr>
        <w:t xml:space="preserve">) </w:t>
      </w:r>
      <w:r w:rsidR="000F425E" w:rsidRPr="00D32E2D">
        <w:rPr>
          <w:rFonts w:eastAsia="Arial"/>
        </w:rPr>
        <w:t xml:space="preserve"> </w:t>
      </w:r>
      <w:r w:rsidR="00A25977" w:rsidRPr="00D32E2D">
        <w:rPr>
          <w:rFonts w:eastAsia="Arial"/>
        </w:rPr>
        <w:t>t</w:t>
      </w:r>
      <w:r w:rsidR="000F425E" w:rsidRPr="00D32E2D">
        <w:rPr>
          <w:rFonts w:eastAsia="Arial"/>
        </w:rPr>
        <w:t>o strengthen the delivery system design for priority NCDs care (policy condition 3.1)</w:t>
      </w:r>
      <w:r w:rsidR="00415320" w:rsidRPr="00D32E2D">
        <w:rPr>
          <w:rFonts w:eastAsia="Arial"/>
        </w:rPr>
        <w:t>. The CCM emphasize</w:t>
      </w:r>
      <w:r w:rsidR="009B2361" w:rsidRPr="00D32E2D">
        <w:rPr>
          <w:rFonts w:eastAsia="Arial"/>
        </w:rPr>
        <w:t>s</w:t>
      </w:r>
      <w:r w:rsidR="00415320" w:rsidRPr="00D32E2D">
        <w:rPr>
          <w:rFonts w:eastAsia="Arial"/>
        </w:rPr>
        <w:t xml:space="preserve"> a gender-sensitive approach to the prevention, diagnosis</w:t>
      </w:r>
      <w:r w:rsidR="009B2361" w:rsidRPr="00D32E2D">
        <w:rPr>
          <w:rFonts w:eastAsia="Arial"/>
        </w:rPr>
        <w:t>,</w:t>
      </w:r>
      <w:r w:rsidR="00415320" w:rsidRPr="00D32E2D">
        <w:rPr>
          <w:rFonts w:eastAsia="Arial"/>
        </w:rPr>
        <w:t xml:space="preserve"> and treatment of NCDs</w:t>
      </w:r>
      <w:r w:rsidR="001E3B0C" w:rsidRPr="00D32E2D">
        <w:rPr>
          <w:rFonts w:eastAsia="Arial"/>
        </w:rPr>
        <w:t>.</w:t>
      </w:r>
      <w:r w:rsidR="0082082D" w:rsidRPr="00D32E2D">
        <w:rPr>
          <w:rFonts w:eastAsia="Arial"/>
        </w:rPr>
        <w:t xml:space="preserve"> It prioritizes </w:t>
      </w:r>
      <w:r w:rsidR="00415320" w:rsidRPr="00D32E2D">
        <w:rPr>
          <w:rFonts w:eastAsia="Arial"/>
        </w:rPr>
        <w:t xml:space="preserve">training health personnel in the gender determinants that influence NCDs and barriers to care </w:t>
      </w:r>
      <w:r w:rsidR="009B2361" w:rsidRPr="00D32E2D">
        <w:rPr>
          <w:rFonts w:eastAsia="Arial"/>
        </w:rPr>
        <w:t>and</w:t>
      </w:r>
      <w:r w:rsidR="00415320" w:rsidRPr="00D32E2D">
        <w:rPr>
          <w:rFonts w:eastAsia="Arial"/>
        </w:rPr>
        <w:t xml:space="preserve"> address</w:t>
      </w:r>
      <w:r w:rsidR="0082082D" w:rsidRPr="00D32E2D">
        <w:rPr>
          <w:rFonts w:eastAsia="Arial"/>
        </w:rPr>
        <w:t xml:space="preserve">es </w:t>
      </w:r>
      <w:r w:rsidR="00415320" w:rsidRPr="00D32E2D">
        <w:rPr>
          <w:rFonts w:eastAsia="Arial"/>
        </w:rPr>
        <w:t xml:space="preserve">the different manifestations of </w:t>
      </w:r>
      <w:r w:rsidR="005F751C" w:rsidRPr="00D32E2D">
        <w:rPr>
          <w:rFonts w:eastAsia="Arial"/>
        </w:rPr>
        <w:t xml:space="preserve">the </w:t>
      </w:r>
      <w:r w:rsidR="00415320" w:rsidRPr="00D32E2D">
        <w:rPr>
          <w:rFonts w:eastAsia="Arial"/>
        </w:rPr>
        <w:t>disease, prevalence, health</w:t>
      </w:r>
      <w:r w:rsidR="005F751C" w:rsidRPr="00D32E2D">
        <w:rPr>
          <w:rFonts w:eastAsia="Arial"/>
        </w:rPr>
        <w:t>-</w:t>
      </w:r>
      <w:r w:rsidR="00415320" w:rsidRPr="00D32E2D">
        <w:rPr>
          <w:rFonts w:eastAsia="Arial"/>
        </w:rPr>
        <w:t>seeking</w:t>
      </w:r>
      <w:r w:rsidR="005F751C" w:rsidRPr="00D32E2D">
        <w:rPr>
          <w:rFonts w:eastAsia="Arial"/>
        </w:rPr>
        <w:t xml:space="preserve"> </w:t>
      </w:r>
      <w:r w:rsidR="00415320" w:rsidRPr="00D32E2D">
        <w:rPr>
          <w:rFonts w:eastAsia="Arial"/>
        </w:rPr>
        <w:t>behaviour and feasibility of complying with treatment according to gender. The first operation support</w:t>
      </w:r>
      <w:r w:rsidR="009B2361" w:rsidRPr="00D32E2D">
        <w:rPr>
          <w:rFonts w:eastAsia="Arial"/>
        </w:rPr>
        <w:t>ed</w:t>
      </w:r>
      <w:r w:rsidR="00415320" w:rsidRPr="00D32E2D">
        <w:rPr>
          <w:rFonts w:eastAsia="Arial"/>
        </w:rPr>
        <w:t xml:space="preserve"> the </w:t>
      </w:r>
      <w:r w:rsidR="00415320" w:rsidRPr="00D32E2D">
        <w:rPr>
          <w:rFonts w:eastAsia="Arial"/>
        </w:rPr>
        <w:lastRenderedPageBreak/>
        <w:t>development of the CCM Concept Paper and Policy</w:t>
      </w:r>
      <w:r w:rsidR="002E2FEB" w:rsidRPr="00D32E2D">
        <w:rPr>
          <w:rFonts w:eastAsia="Arial"/>
        </w:rPr>
        <w:t>. T</w:t>
      </w:r>
      <w:r w:rsidR="00415320" w:rsidRPr="00D32E2D">
        <w:rPr>
          <w:rFonts w:eastAsia="Arial"/>
        </w:rPr>
        <w:t xml:space="preserve">he second operation </w:t>
      </w:r>
      <w:r w:rsidR="00D32E2D" w:rsidRPr="00D32E2D">
        <w:rPr>
          <w:rFonts w:eastAsia="Arial"/>
        </w:rPr>
        <w:t>endorses implementing</w:t>
      </w:r>
      <w:r w:rsidR="00C25C45" w:rsidRPr="00D32E2D">
        <w:rPr>
          <w:rFonts w:eastAsia="Arial"/>
        </w:rPr>
        <w:t xml:space="preserve"> </w:t>
      </w:r>
      <w:r w:rsidR="00415320" w:rsidRPr="00D32E2D">
        <w:rPr>
          <w:rFonts w:eastAsia="Arial"/>
        </w:rPr>
        <w:t>the CCM Policy in at least one health network.</w:t>
      </w:r>
    </w:p>
    <w:p w14:paraId="5179A08B" w14:textId="2A124FE8" w:rsidR="00415320" w:rsidRPr="00D32E2D" w:rsidRDefault="000F43BB" w:rsidP="00782A02">
      <w:pPr>
        <w:pStyle w:val="ListParagraph"/>
        <w:numPr>
          <w:ilvl w:val="0"/>
          <w:numId w:val="12"/>
        </w:numPr>
        <w:rPr>
          <w:rFonts w:eastAsia="Arial"/>
        </w:rPr>
      </w:pPr>
      <w:r w:rsidRPr="00D32E2D">
        <w:rPr>
          <w:rFonts w:eastAsia="Arial"/>
        </w:rPr>
        <w:t xml:space="preserve">The MOHW developed and started the implementation of screening guidelines </w:t>
      </w:r>
      <w:r w:rsidR="00680CC2" w:rsidRPr="00D32E2D">
        <w:rPr>
          <w:rFonts w:eastAsia="Arial"/>
        </w:rPr>
        <w:t>for the primary care level t</w:t>
      </w:r>
      <w:r w:rsidR="00415320" w:rsidRPr="00D32E2D">
        <w:rPr>
          <w:rFonts w:eastAsia="Arial"/>
        </w:rPr>
        <w:t>o promote early detection of priority NCDs (policy condition 3.2)</w:t>
      </w:r>
      <w:r w:rsidR="00680CC2" w:rsidRPr="00D32E2D">
        <w:rPr>
          <w:rFonts w:eastAsia="Arial"/>
        </w:rPr>
        <w:t xml:space="preserve">. </w:t>
      </w:r>
      <w:r w:rsidR="00415320" w:rsidRPr="00D32E2D">
        <w:rPr>
          <w:rFonts w:eastAsia="Arial"/>
        </w:rPr>
        <w:t>The first operation support</w:t>
      </w:r>
      <w:r w:rsidR="00680CC2" w:rsidRPr="00D32E2D">
        <w:rPr>
          <w:rFonts w:eastAsia="Arial"/>
        </w:rPr>
        <w:t>ed</w:t>
      </w:r>
      <w:r w:rsidR="00415320" w:rsidRPr="00D32E2D">
        <w:rPr>
          <w:rFonts w:eastAsia="Arial"/>
        </w:rPr>
        <w:t xml:space="preserve"> the approval of a concept paper for the development of the screening guidelines</w:t>
      </w:r>
      <w:r w:rsidR="00680CC2" w:rsidRPr="00D32E2D">
        <w:rPr>
          <w:rFonts w:eastAsia="Arial"/>
        </w:rPr>
        <w:t xml:space="preserve">. The </w:t>
      </w:r>
      <w:r w:rsidR="00415320" w:rsidRPr="00D32E2D">
        <w:rPr>
          <w:rFonts w:eastAsia="Arial"/>
        </w:rPr>
        <w:t>second operation include</w:t>
      </w:r>
      <w:r w:rsidR="00384D08" w:rsidRPr="00D32E2D">
        <w:rPr>
          <w:rFonts w:eastAsia="Arial"/>
        </w:rPr>
        <w:t>d</w:t>
      </w:r>
      <w:r w:rsidR="00415320" w:rsidRPr="00D32E2D">
        <w:rPr>
          <w:rFonts w:eastAsia="Arial"/>
        </w:rPr>
        <w:t xml:space="preserve"> the approval and early implementation of the screening guidelines through a pilot at the primary care level. </w:t>
      </w:r>
    </w:p>
    <w:p w14:paraId="4210E62A" w14:textId="71806ABC" w:rsidR="00415320" w:rsidRPr="00D32E2D" w:rsidRDefault="00A038EF" w:rsidP="00782A02">
      <w:pPr>
        <w:pStyle w:val="ListParagraph"/>
        <w:numPr>
          <w:ilvl w:val="0"/>
          <w:numId w:val="12"/>
        </w:numPr>
        <w:rPr>
          <w:rFonts w:eastAsia="Arial"/>
        </w:rPr>
      </w:pPr>
      <w:r w:rsidRPr="00D32E2D">
        <w:rPr>
          <w:rFonts w:eastAsia="Arial"/>
        </w:rPr>
        <w:t>The programme support</w:t>
      </w:r>
      <w:r w:rsidR="007B192E" w:rsidRPr="00D32E2D">
        <w:rPr>
          <w:rFonts w:eastAsia="Arial"/>
        </w:rPr>
        <w:t>ed</w:t>
      </w:r>
      <w:r w:rsidRPr="00D32E2D">
        <w:rPr>
          <w:rFonts w:eastAsia="Arial"/>
        </w:rPr>
        <w:t xml:space="preserve"> the development, approval</w:t>
      </w:r>
      <w:r w:rsidR="003B4EA2" w:rsidRPr="00D32E2D">
        <w:rPr>
          <w:rFonts w:eastAsia="Arial"/>
        </w:rPr>
        <w:t>,</w:t>
      </w:r>
      <w:r w:rsidRPr="00D32E2D">
        <w:rPr>
          <w:rFonts w:eastAsia="Arial"/>
        </w:rPr>
        <w:t xml:space="preserve"> and publication of guidelines for the nutritional management of obesity, diabetes, hypertension and cancer in hospitals and health centre</w:t>
      </w:r>
      <w:r w:rsidR="003B4EA2" w:rsidRPr="00D32E2D">
        <w:rPr>
          <w:rFonts w:eastAsia="Arial"/>
        </w:rPr>
        <w:t>s</w:t>
      </w:r>
      <w:r w:rsidR="007B192E" w:rsidRPr="00D32E2D">
        <w:rPr>
          <w:rFonts w:eastAsia="Arial"/>
        </w:rPr>
        <w:t xml:space="preserve">. </w:t>
      </w:r>
      <w:r w:rsidR="006F1EED" w:rsidRPr="00D32E2D">
        <w:rPr>
          <w:rFonts w:eastAsia="Arial"/>
        </w:rPr>
        <w:t xml:space="preserve">The guidelines </w:t>
      </w:r>
      <w:r w:rsidR="00C333F8" w:rsidRPr="00D32E2D">
        <w:rPr>
          <w:rFonts w:eastAsia="Arial"/>
        </w:rPr>
        <w:t xml:space="preserve">set standards of care and </w:t>
      </w:r>
      <w:r w:rsidR="00415320" w:rsidRPr="00D32E2D">
        <w:rPr>
          <w:rFonts w:eastAsia="Arial"/>
        </w:rPr>
        <w:t xml:space="preserve">improve the decision-making in the delivery of NCDs </w:t>
      </w:r>
      <w:r w:rsidR="00C333F8" w:rsidRPr="00D32E2D">
        <w:rPr>
          <w:rFonts w:eastAsia="Arial"/>
        </w:rPr>
        <w:t>services</w:t>
      </w:r>
      <w:r w:rsidR="00415320" w:rsidRPr="00D32E2D">
        <w:rPr>
          <w:rFonts w:eastAsia="Arial"/>
        </w:rPr>
        <w:t xml:space="preserve"> (policy condition 3.3)</w:t>
      </w:r>
      <w:r w:rsidR="00556441" w:rsidRPr="00D32E2D">
        <w:rPr>
          <w:rFonts w:eastAsia="Arial"/>
        </w:rPr>
        <w:t xml:space="preserve">. Such guidelines </w:t>
      </w:r>
      <w:r w:rsidR="00415320" w:rsidRPr="00D32E2D">
        <w:rPr>
          <w:rFonts w:eastAsia="Arial"/>
        </w:rPr>
        <w:t>include the development and implementation of the nutrition care plan based on nutritional adequacy, caloric control, nutrient density, variety</w:t>
      </w:r>
      <w:r w:rsidR="00556441" w:rsidRPr="00D32E2D">
        <w:rPr>
          <w:rFonts w:eastAsia="Arial"/>
        </w:rPr>
        <w:t>,</w:t>
      </w:r>
      <w:r w:rsidR="00415320" w:rsidRPr="00D32E2D">
        <w:rPr>
          <w:rFonts w:eastAsia="Arial"/>
        </w:rPr>
        <w:t xml:space="preserve"> and balance, </w:t>
      </w:r>
      <w:r w:rsidR="00556441" w:rsidRPr="00D32E2D">
        <w:rPr>
          <w:rFonts w:eastAsia="Arial"/>
        </w:rPr>
        <w:t xml:space="preserve">and </w:t>
      </w:r>
      <w:r w:rsidR="00415320" w:rsidRPr="00D32E2D">
        <w:rPr>
          <w:rFonts w:eastAsia="Arial"/>
        </w:rPr>
        <w:t>the individual anthropometric, biochemical, clinical</w:t>
      </w:r>
      <w:r w:rsidR="004222AD" w:rsidRPr="00D32E2D">
        <w:rPr>
          <w:rFonts w:eastAsia="Arial"/>
        </w:rPr>
        <w:t>,</w:t>
      </w:r>
      <w:r w:rsidR="00415320" w:rsidRPr="00D32E2D">
        <w:rPr>
          <w:rFonts w:eastAsia="Arial"/>
        </w:rPr>
        <w:t xml:space="preserve"> and dietary data; the evaluation, documentation</w:t>
      </w:r>
      <w:r w:rsidR="004222AD" w:rsidRPr="00D32E2D">
        <w:rPr>
          <w:rFonts w:eastAsia="Arial"/>
        </w:rPr>
        <w:t>,</w:t>
      </w:r>
      <w:r w:rsidR="00415320" w:rsidRPr="00D32E2D">
        <w:rPr>
          <w:rFonts w:eastAsia="Arial"/>
        </w:rPr>
        <w:t xml:space="preserve"> and monitoring of nutritional care; directives for self-management and indications for referrals to </w:t>
      </w:r>
      <w:r w:rsidR="00D611B1" w:rsidRPr="00D32E2D">
        <w:rPr>
          <w:rFonts w:eastAsia="Arial"/>
        </w:rPr>
        <w:t xml:space="preserve">a </w:t>
      </w:r>
      <w:r w:rsidR="00415320" w:rsidRPr="00D32E2D">
        <w:rPr>
          <w:rFonts w:eastAsia="Arial"/>
        </w:rPr>
        <w:t>health care team. The first operation support</w:t>
      </w:r>
      <w:r w:rsidR="004222AD" w:rsidRPr="00D32E2D">
        <w:rPr>
          <w:rFonts w:eastAsia="Arial"/>
        </w:rPr>
        <w:t>ed</w:t>
      </w:r>
      <w:r w:rsidR="00415320" w:rsidRPr="00D32E2D">
        <w:rPr>
          <w:rFonts w:eastAsia="Arial"/>
        </w:rPr>
        <w:t xml:space="preserve"> the development of the nutritional guidelines</w:t>
      </w:r>
      <w:r w:rsidR="004222AD" w:rsidRPr="00D32E2D">
        <w:rPr>
          <w:rFonts w:eastAsia="Arial"/>
        </w:rPr>
        <w:t>. The second o</w:t>
      </w:r>
      <w:r w:rsidR="00415320" w:rsidRPr="00D32E2D">
        <w:rPr>
          <w:rFonts w:eastAsia="Arial"/>
        </w:rPr>
        <w:t xml:space="preserve">peration </w:t>
      </w:r>
      <w:r w:rsidR="004222AD" w:rsidRPr="00D32E2D">
        <w:rPr>
          <w:rFonts w:eastAsia="Arial"/>
        </w:rPr>
        <w:t xml:space="preserve">supported MOHW approval and </w:t>
      </w:r>
      <w:r w:rsidR="00415320" w:rsidRPr="00D32E2D">
        <w:rPr>
          <w:rFonts w:eastAsia="Arial"/>
        </w:rPr>
        <w:t xml:space="preserve">on-line publication. </w:t>
      </w:r>
    </w:p>
    <w:p w14:paraId="1D5AA1CA" w14:textId="61C5FEA7" w:rsidR="00415320" w:rsidRPr="00D32E2D" w:rsidRDefault="00415320" w:rsidP="00782A02">
      <w:pPr>
        <w:pStyle w:val="ListParagraph"/>
        <w:numPr>
          <w:ilvl w:val="0"/>
          <w:numId w:val="12"/>
        </w:numPr>
        <w:rPr>
          <w:rFonts w:eastAsia="Arial" w:cs="Arial"/>
          <w:szCs w:val="22"/>
        </w:rPr>
      </w:pPr>
      <w:r w:rsidRPr="00D32E2D">
        <w:rPr>
          <w:rFonts w:eastAsia="Arial" w:cs="Arial"/>
          <w:szCs w:val="22"/>
        </w:rPr>
        <w:t>To strengthen Jamaica´s record on providing mental health services in community</w:t>
      </w:r>
      <w:r w:rsidRPr="00D32E2D">
        <w:rPr>
          <w:rFonts w:eastAsia="Arial" w:cs="Arial"/>
          <w:szCs w:val="22"/>
        </w:rPr>
        <w:noBreakHyphen/>
        <w:t xml:space="preserve">based settings and of mental health promotion and prevention strategies (policy condition 3.4), the programme will support the development and approval of the National Strategic Plan on Mental Health. The first operation will support the development of the plan, and the second operation will support the approval of the plan by the </w:t>
      </w:r>
      <w:r w:rsidR="00971095" w:rsidRPr="00D32E2D">
        <w:rPr>
          <w:rFonts w:eastAsia="Arial" w:cs="Arial"/>
          <w:szCs w:val="22"/>
        </w:rPr>
        <w:t>MOHW</w:t>
      </w:r>
      <w:r w:rsidRPr="00D32E2D">
        <w:rPr>
          <w:rFonts w:eastAsia="Arial"/>
        </w:rPr>
        <w:t>.</w:t>
      </w:r>
      <w:r w:rsidRPr="00D32E2D">
        <w:rPr>
          <w:rFonts w:eastAsia="Arial" w:cs="Arial"/>
          <w:szCs w:val="22"/>
        </w:rPr>
        <w:t xml:space="preserve"> </w:t>
      </w:r>
    </w:p>
    <w:p w14:paraId="38FD95A1" w14:textId="7EF55916" w:rsidR="00415320" w:rsidRPr="00D32E2D" w:rsidRDefault="008B5695" w:rsidP="00782A02">
      <w:pPr>
        <w:pStyle w:val="ListParagraph"/>
        <w:numPr>
          <w:ilvl w:val="0"/>
          <w:numId w:val="12"/>
        </w:numPr>
        <w:rPr>
          <w:rFonts w:eastAsia="Arial" w:cs="Arial"/>
          <w:szCs w:val="22"/>
        </w:rPr>
      </w:pPr>
      <w:r w:rsidRPr="00D32E2D">
        <w:rPr>
          <w:rFonts w:eastAsia="Arial" w:cs="Arial"/>
          <w:szCs w:val="22"/>
        </w:rPr>
        <w:t>The MOHW developed a National Plan of Action for IS4H (NPAI) t</w:t>
      </w:r>
      <w:r w:rsidR="00415320" w:rsidRPr="00D32E2D">
        <w:rPr>
          <w:rFonts w:eastAsia="Arial" w:cs="Arial"/>
          <w:szCs w:val="22"/>
        </w:rPr>
        <w:t xml:space="preserve">o provide the foundational elements for Information Systems for </w:t>
      </w:r>
      <w:r w:rsidR="00E93571" w:rsidRPr="00D32E2D">
        <w:rPr>
          <w:rFonts w:eastAsia="Arial" w:cs="Arial"/>
          <w:szCs w:val="22"/>
        </w:rPr>
        <w:t>H</w:t>
      </w:r>
      <w:r w:rsidR="00415320" w:rsidRPr="00D32E2D">
        <w:rPr>
          <w:rFonts w:eastAsia="Arial" w:cs="Arial"/>
          <w:szCs w:val="22"/>
        </w:rPr>
        <w:t xml:space="preserve">ealth </w:t>
      </w:r>
      <w:r w:rsidR="00E93571" w:rsidRPr="00D32E2D">
        <w:rPr>
          <w:rFonts w:eastAsia="Arial" w:cs="Arial"/>
          <w:szCs w:val="22"/>
        </w:rPr>
        <w:t>(IS4H)</w:t>
      </w:r>
      <w:r w:rsidR="00415320" w:rsidRPr="00D32E2D">
        <w:rPr>
          <w:rFonts w:eastAsia="Arial" w:cs="Arial"/>
          <w:szCs w:val="22"/>
        </w:rPr>
        <w:t xml:space="preserve"> (policy condition 3.5)</w:t>
      </w:r>
      <w:r w:rsidRPr="00D32E2D">
        <w:rPr>
          <w:rFonts w:eastAsia="Arial" w:cs="Arial"/>
          <w:szCs w:val="22"/>
        </w:rPr>
        <w:t xml:space="preserve">. The </w:t>
      </w:r>
      <w:r w:rsidR="007C0EB3" w:rsidRPr="00D32E2D">
        <w:rPr>
          <w:rFonts w:eastAsia="Arial" w:cs="Arial"/>
          <w:szCs w:val="22"/>
        </w:rPr>
        <w:t xml:space="preserve">NPAI </w:t>
      </w:r>
      <w:r w:rsidR="00415320" w:rsidRPr="00D32E2D">
        <w:rPr>
          <w:rFonts w:eastAsia="Arial" w:cs="Arial"/>
          <w:szCs w:val="22"/>
        </w:rPr>
        <w:t>support</w:t>
      </w:r>
      <w:r w:rsidR="00C45B1C" w:rsidRPr="00D32E2D">
        <w:rPr>
          <w:rFonts w:eastAsia="Arial" w:cs="Arial"/>
          <w:szCs w:val="22"/>
        </w:rPr>
        <w:t>s</w:t>
      </w:r>
      <w:r w:rsidR="00415320" w:rsidRPr="00D32E2D">
        <w:rPr>
          <w:rFonts w:eastAsia="Arial" w:cs="Arial"/>
          <w:szCs w:val="22"/>
        </w:rPr>
        <w:t xml:space="preserve"> interoperability standards across components of information systems to facilitate tracking of patients throughout the public health sector, a referral system, modules to support NCD self</w:t>
      </w:r>
      <w:r w:rsidR="00415320" w:rsidRPr="00D32E2D">
        <w:rPr>
          <w:rFonts w:eastAsia="Arial" w:cs="Arial"/>
          <w:szCs w:val="22"/>
        </w:rPr>
        <w:noBreakHyphen/>
        <w:t>management</w:t>
      </w:r>
      <w:r w:rsidR="00231D4D" w:rsidRPr="00D32E2D">
        <w:rPr>
          <w:rFonts w:eastAsia="Arial" w:cs="Arial"/>
          <w:szCs w:val="22"/>
        </w:rPr>
        <w:t xml:space="preserve">, </w:t>
      </w:r>
      <w:r w:rsidR="00415320" w:rsidRPr="00D32E2D">
        <w:rPr>
          <w:rFonts w:eastAsia="Arial" w:cs="Arial"/>
          <w:szCs w:val="22"/>
        </w:rPr>
        <w:t xml:space="preserve">follow-up appointments, </w:t>
      </w:r>
      <w:r w:rsidR="001048A9" w:rsidRPr="00D32E2D">
        <w:rPr>
          <w:rFonts w:eastAsia="Arial" w:cs="Arial"/>
          <w:szCs w:val="22"/>
        </w:rPr>
        <w:t>t</w:t>
      </w:r>
      <w:r w:rsidR="00A64D37" w:rsidRPr="00D32E2D">
        <w:rPr>
          <w:rFonts w:eastAsia="Arial" w:cs="Arial"/>
          <w:szCs w:val="22"/>
        </w:rPr>
        <w:t>elemedicine</w:t>
      </w:r>
      <w:r w:rsidR="00415320" w:rsidRPr="00D32E2D">
        <w:rPr>
          <w:rFonts w:eastAsia="Arial" w:cs="Arial"/>
          <w:szCs w:val="22"/>
        </w:rPr>
        <w:t xml:space="preserve"> and </w:t>
      </w:r>
      <w:r w:rsidR="001048A9" w:rsidRPr="00D32E2D">
        <w:rPr>
          <w:rFonts w:eastAsia="Arial" w:cs="Arial"/>
          <w:szCs w:val="22"/>
        </w:rPr>
        <w:t>t</w:t>
      </w:r>
      <w:r w:rsidR="00A64D37" w:rsidRPr="00D32E2D">
        <w:rPr>
          <w:rFonts w:eastAsia="Arial" w:cs="Arial"/>
          <w:szCs w:val="22"/>
        </w:rPr>
        <w:t>elehealth</w:t>
      </w:r>
      <w:r w:rsidR="00415320" w:rsidRPr="00D32E2D">
        <w:rPr>
          <w:rFonts w:eastAsia="Arial" w:cs="Arial"/>
          <w:szCs w:val="22"/>
        </w:rPr>
        <w:t xml:space="preserve"> initiatives. The first operation support</w:t>
      </w:r>
      <w:r w:rsidR="007C0EB3" w:rsidRPr="00D32E2D">
        <w:rPr>
          <w:rFonts w:eastAsia="Arial" w:cs="Arial"/>
          <w:szCs w:val="22"/>
        </w:rPr>
        <w:t>ed</w:t>
      </w:r>
      <w:r w:rsidR="00415320" w:rsidRPr="00D32E2D">
        <w:rPr>
          <w:rFonts w:eastAsia="Arial" w:cs="Arial"/>
          <w:szCs w:val="22"/>
        </w:rPr>
        <w:t xml:space="preserve"> the development of the </w:t>
      </w:r>
      <w:r w:rsidR="007C0EB3" w:rsidRPr="00D32E2D">
        <w:rPr>
          <w:rFonts w:eastAsia="Arial" w:cs="Arial"/>
          <w:szCs w:val="22"/>
        </w:rPr>
        <w:t>NPAI</w:t>
      </w:r>
      <w:r w:rsidR="001048A9" w:rsidRPr="00D32E2D">
        <w:rPr>
          <w:rFonts w:eastAsia="Arial" w:cs="Arial"/>
          <w:szCs w:val="22"/>
        </w:rPr>
        <w:t>. The</w:t>
      </w:r>
      <w:r w:rsidR="00415320" w:rsidRPr="00D32E2D">
        <w:rPr>
          <w:rFonts w:eastAsia="Arial" w:cs="Arial"/>
          <w:szCs w:val="22"/>
        </w:rPr>
        <w:t xml:space="preserve"> second operation </w:t>
      </w:r>
      <w:r w:rsidR="007C0EB3" w:rsidRPr="00D32E2D">
        <w:rPr>
          <w:rFonts w:eastAsia="Arial" w:cs="Arial"/>
          <w:szCs w:val="22"/>
        </w:rPr>
        <w:t xml:space="preserve">upheld its </w:t>
      </w:r>
      <w:r w:rsidR="00415320" w:rsidRPr="00D32E2D">
        <w:rPr>
          <w:rFonts w:eastAsia="Arial" w:cs="Arial"/>
          <w:szCs w:val="22"/>
        </w:rPr>
        <w:t xml:space="preserve">approval, </w:t>
      </w:r>
      <w:r w:rsidR="007C0EB3" w:rsidRPr="00D32E2D">
        <w:rPr>
          <w:rFonts w:eastAsia="Arial" w:cs="Arial"/>
          <w:szCs w:val="22"/>
        </w:rPr>
        <w:t>and</w:t>
      </w:r>
      <w:r w:rsidR="00415320" w:rsidRPr="00D32E2D">
        <w:rPr>
          <w:rFonts w:eastAsia="Arial" w:cs="Arial"/>
          <w:szCs w:val="22"/>
        </w:rPr>
        <w:t xml:space="preserve"> the implementation of the Policy and Legal Framework Work Stream of the NPAI </w:t>
      </w:r>
      <w:r w:rsidR="00E4783D" w:rsidRPr="00D32E2D">
        <w:rPr>
          <w:rFonts w:eastAsia="Arial" w:cs="Arial"/>
          <w:szCs w:val="22"/>
        </w:rPr>
        <w:t>by developing</w:t>
      </w:r>
      <w:r w:rsidR="00415320" w:rsidRPr="00D32E2D">
        <w:rPr>
          <w:rFonts w:eastAsia="Arial" w:cs="Arial"/>
          <w:szCs w:val="22"/>
        </w:rPr>
        <w:t xml:space="preserve"> a policy to govern the collection, use and disclosure of personal health information whether it exists on paper or other formats. </w:t>
      </w:r>
    </w:p>
    <w:p w14:paraId="736213C2" w14:textId="7FFA46E8" w:rsidR="00415320" w:rsidRPr="00D32E2D" w:rsidRDefault="000D453E" w:rsidP="00BC256B">
      <w:pPr>
        <w:pStyle w:val="Heading3"/>
        <w:rPr>
          <w:rFonts w:eastAsia="Arial"/>
        </w:rPr>
      </w:pPr>
      <w:bookmarkStart w:id="16" w:name="_Toc47607322"/>
      <w:bookmarkEnd w:id="15"/>
      <w:r w:rsidRPr="00D32E2D">
        <w:rPr>
          <w:rFonts w:eastAsia="Arial"/>
        </w:rPr>
        <w:t xml:space="preserve">1.4. </w:t>
      </w:r>
      <w:r w:rsidR="00415320" w:rsidRPr="00D32E2D">
        <w:rPr>
          <w:rFonts w:eastAsia="Arial"/>
        </w:rPr>
        <w:t>Investment Loan JA-L1049</w:t>
      </w:r>
      <w:bookmarkEnd w:id="16"/>
    </w:p>
    <w:p w14:paraId="149CE441" w14:textId="07682DAA" w:rsidR="00415320" w:rsidRPr="00D32E2D" w:rsidRDefault="00415320" w:rsidP="00437D1C">
      <w:pPr>
        <w:rPr>
          <w:rFonts w:eastAsia="Arial"/>
        </w:rPr>
      </w:pPr>
      <w:bookmarkStart w:id="17" w:name="_Hlk520886178"/>
      <w:r w:rsidRPr="00D32E2D">
        <w:rPr>
          <w:rFonts w:eastAsia="Arial"/>
          <w:b/>
          <w:bCs/>
        </w:rPr>
        <w:t>Component 1. Organization and consolidation of integrated health services networks.</w:t>
      </w:r>
      <w:r w:rsidRPr="00D32E2D">
        <w:rPr>
          <w:rFonts w:eastAsia="Arial"/>
        </w:rPr>
        <w:t xml:space="preserve"> </w:t>
      </w:r>
      <w:bookmarkEnd w:id="17"/>
      <w:r w:rsidRPr="00D32E2D">
        <w:rPr>
          <w:rFonts w:eastAsia="Arial"/>
        </w:rPr>
        <w:t xml:space="preserve">This component </w:t>
      </w:r>
      <w:r w:rsidR="0035473C" w:rsidRPr="00D32E2D">
        <w:rPr>
          <w:rFonts w:eastAsia="Arial"/>
        </w:rPr>
        <w:t>is financing</w:t>
      </w:r>
      <w:r w:rsidRPr="00D32E2D">
        <w:rPr>
          <w:rFonts w:eastAsia="Arial"/>
        </w:rPr>
        <w:t xml:space="preserve"> the purchase of medical equipment and improv</w:t>
      </w:r>
      <w:r w:rsidR="00F60C31" w:rsidRPr="00D32E2D">
        <w:rPr>
          <w:rFonts w:eastAsia="Arial"/>
        </w:rPr>
        <w:t>ing</w:t>
      </w:r>
      <w:r w:rsidRPr="00D32E2D">
        <w:rPr>
          <w:rFonts w:eastAsia="Arial"/>
        </w:rPr>
        <w:t xml:space="preserve"> infrastructure for primary health care services in the catchment areas of three priority hospitals to increase their capacity in health promotion and disease prevention, especially regarding chronic, non</w:t>
      </w:r>
      <w:r w:rsidR="0053513E" w:rsidRPr="00D32E2D">
        <w:rPr>
          <w:rFonts w:eastAsia="Arial"/>
        </w:rPr>
        <w:t>-</w:t>
      </w:r>
      <w:r w:rsidRPr="00D32E2D">
        <w:rPr>
          <w:rFonts w:eastAsia="Arial"/>
        </w:rPr>
        <w:t xml:space="preserve">communicable diseases. The investments focus on strengthening the diagnostic and screening capability </w:t>
      </w:r>
      <w:r w:rsidR="00F60C31" w:rsidRPr="00D32E2D">
        <w:rPr>
          <w:rFonts w:eastAsia="Arial"/>
        </w:rPr>
        <w:t>and</w:t>
      </w:r>
      <w:r w:rsidRPr="00D32E2D">
        <w:rPr>
          <w:rFonts w:eastAsia="Arial"/>
        </w:rPr>
        <w:t xml:space="preserve"> the clinical and resolutive</w:t>
      </w:r>
      <w:r w:rsidRPr="00D32E2D">
        <w:rPr>
          <w:rFonts w:eastAsia="Arial"/>
        </w:rPr>
        <w:noBreakHyphen/>
        <w:t>capacity of health clinics. Th</w:t>
      </w:r>
      <w:r w:rsidR="00453F77" w:rsidRPr="00D32E2D">
        <w:rPr>
          <w:rFonts w:eastAsia="Arial"/>
        </w:rPr>
        <w:t>e improvements</w:t>
      </w:r>
      <w:r w:rsidRPr="00D32E2D">
        <w:rPr>
          <w:rFonts w:eastAsia="Arial"/>
        </w:rPr>
        <w:t xml:space="preserve"> will allow for </w:t>
      </w:r>
      <w:r w:rsidR="007F47C4" w:rsidRPr="00D32E2D">
        <w:rPr>
          <w:rFonts w:eastAsia="Arial"/>
        </w:rPr>
        <w:t>earlier</w:t>
      </w:r>
      <w:r w:rsidRPr="00D32E2D">
        <w:rPr>
          <w:rFonts w:eastAsia="Arial"/>
        </w:rPr>
        <w:t xml:space="preserve"> detection and better management of chronic disease</w:t>
      </w:r>
      <w:r w:rsidR="00226C68" w:rsidRPr="00D32E2D">
        <w:rPr>
          <w:rFonts w:eastAsia="Arial"/>
        </w:rPr>
        <w:t>s</w:t>
      </w:r>
      <w:r w:rsidRPr="00D32E2D">
        <w:rPr>
          <w:rFonts w:eastAsia="Arial"/>
        </w:rPr>
        <w:t xml:space="preserve"> and </w:t>
      </w:r>
      <w:r w:rsidR="00D32E2D" w:rsidRPr="00D32E2D">
        <w:rPr>
          <w:rFonts w:eastAsia="Arial"/>
        </w:rPr>
        <w:t>reduce the</w:t>
      </w:r>
      <w:r w:rsidRPr="00D32E2D">
        <w:rPr>
          <w:rFonts w:eastAsia="Arial"/>
        </w:rPr>
        <w:t xml:space="preserve"> rate of avoidable hospitalizations. Concomitantly, the programme </w:t>
      </w:r>
      <w:r w:rsidR="00062573" w:rsidRPr="00D32E2D">
        <w:rPr>
          <w:rFonts w:eastAsia="Arial"/>
        </w:rPr>
        <w:t>provides</w:t>
      </w:r>
      <w:r w:rsidRPr="00D32E2D">
        <w:rPr>
          <w:rFonts w:eastAsia="Arial"/>
        </w:rPr>
        <w:t xml:space="preserve"> resources for the upgrading and expansion of three hospitals selected on criteria relating to strategic role in the national hospital network, supply-demand gap analyses, and physical needs assessment. The hospitals benefit from infrastructure upgrading and or expansion as well as modernization.</w:t>
      </w:r>
      <w:r w:rsidRPr="00D32E2D">
        <w:rPr>
          <w:rFonts w:eastAsia="Arial"/>
          <w:vertAlign w:val="superscript"/>
        </w:rPr>
        <w:footnoteReference w:id="2"/>
      </w:r>
      <w:r w:rsidRPr="00D32E2D">
        <w:rPr>
          <w:rFonts w:eastAsia="Arial"/>
        </w:rPr>
        <w:t xml:space="preserve"> Th</w:t>
      </w:r>
      <w:r w:rsidR="003C0726" w:rsidRPr="00D32E2D">
        <w:rPr>
          <w:rFonts w:eastAsia="Arial"/>
        </w:rPr>
        <w:t xml:space="preserve">is component’s </w:t>
      </w:r>
      <w:r w:rsidRPr="00D32E2D">
        <w:rPr>
          <w:rFonts w:eastAsia="Arial"/>
        </w:rPr>
        <w:lastRenderedPageBreak/>
        <w:t>interventions will provide more rational utilization of health sector resources and facilitate the more efficient distribution of cases according to complexity, with clinics and health centres attending to primary care patients while hospitals concentrate more exclusively on complex cases.</w:t>
      </w:r>
    </w:p>
    <w:p w14:paraId="61ED3EF1" w14:textId="66499146" w:rsidR="00415320" w:rsidRPr="001255E6" w:rsidRDefault="00415320" w:rsidP="00437D1C">
      <w:pPr>
        <w:rPr>
          <w:rFonts w:eastAsia="Arial"/>
        </w:rPr>
      </w:pPr>
      <w:bookmarkStart w:id="18" w:name="_Hlk520886191"/>
      <w:r w:rsidRPr="00D32E2D">
        <w:rPr>
          <w:rFonts w:eastAsia="Arial"/>
          <w:b/>
          <w:bCs/>
        </w:rPr>
        <w:t>Subcomponent 1.1. Strengthening primary care.</w:t>
      </w:r>
      <w:bookmarkEnd w:id="18"/>
      <w:r w:rsidRPr="00D32E2D">
        <w:rPr>
          <w:rFonts w:eastAsia="Arial"/>
        </w:rPr>
        <w:t xml:space="preserve"> </w:t>
      </w:r>
      <w:r w:rsidR="00F83955" w:rsidRPr="00D32E2D">
        <w:rPr>
          <w:rFonts w:cs="Arial"/>
          <w:szCs w:val="22"/>
        </w:rPr>
        <w:t>This component finance</w:t>
      </w:r>
      <w:r w:rsidR="001D5130" w:rsidRPr="00D32E2D">
        <w:rPr>
          <w:rFonts w:cs="Arial"/>
          <w:szCs w:val="22"/>
        </w:rPr>
        <w:t>s</w:t>
      </w:r>
      <w:r w:rsidR="00F83955" w:rsidRPr="00D32E2D">
        <w:rPr>
          <w:rFonts w:cs="Arial"/>
          <w:szCs w:val="22"/>
        </w:rPr>
        <w:t xml:space="preserve"> primary health care services improvement in the catchment areas of three priority hospitals. Specifically, infrastructure works in </w:t>
      </w:r>
      <w:r w:rsidR="00FD3BB5" w:rsidRPr="00D32E2D">
        <w:rPr>
          <w:rFonts w:cs="Arial"/>
          <w:szCs w:val="22"/>
        </w:rPr>
        <w:t>ten</w:t>
      </w:r>
      <w:r w:rsidR="00F83955" w:rsidRPr="00D32E2D">
        <w:rPr>
          <w:rFonts w:cs="Arial"/>
          <w:szCs w:val="22"/>
        </w:rPr>
        <w:t xml:space="preserve"> health centres includ</w:t>
      </w:r>
      <w:r w:rsidR="006B0D6D" w:rsidRPr="00D32E2D">
        <w:rPr>
          <w:rFonts w:cs="Arial"/>
          <w:szCs w:val="22"/>
        </w:rPr>
        <w:t>ing the</w:t>
      </w:r>
      <w:r w:rsidR="00F83955" w:rsidRPr="00D32E2D">
        <w:rPr>
          <w:rFonts w:cs="Arial"/>
          <w:szCs w:val="22"/>
        </w:rPr>
        <w:t xml:space="preserve"> construction of new </w:t>
      </w:r>
      <w:r w:rsidR="000B5E63" w:rsidRPr="00D32E2D">
        <w:rPr>
          <w:rFonts w:cs="Arial"/>
          <w:szCs w:val="22"/>
        </w:rPr>
        <w:t>clinics</w:t>
      </w:r>
      <w:r w:rsidR="00981174" w:rsidRPr="00D32E2D">
        <w:rPr>
          <w:rFonts w:cs="Arial"/>
          <w:szCs w:val="22"/>
        </w:rPr>
        <w:t>,</w:t>
      </w:r>
      <w:r w:rsidR="00F83955" w:rsidRPr="00D32E2D">
        <w:rPr>
          <w:rFonts w:cs="Arial"/>
          <w:szCs w:val="22"/>
        </w:rPr>
        <w:t xml:space="preserve"> </w:t>
      </w:r>
      <w:r w:rsidR="00BE790B" w:rsidRPr="00D32E2D">
        <w:rPr>
          <w:rFonts w:cs="Arial"/>
          <w:szCs w:val="22"/>
        </w:rPr>
        <w:t xml:space="preserve">and </w:t>
      </w:r>
      <w:r w:rsidR="00F83955" w:rsidRPr="00D32E2D">
        <w:rPr>
          <w:rFonts w:cs="Arial"/>
          <w:szCs w:val="22"/>
        </w:rPr>
        <w:t>remodelling and expansion of infrastructure in select</w:t>
      </w:r>
      <w:r w:rsidR="00981174" w:rsidRPr="00D32E2D">
        <w:rPr>
          <w:rFonts w:cs="Arial"/>
          <w:szCs w:val="22"/>
        </w:rPr>
        <w:t>ed</w:t>
      </w:r>
      <w:r w:rsidR="00F83955" w:rsidRPr="00D32E2D">
        <w:rPr>
          <w:rFonts w:cs="Arial"/>
          <w:szCs w:val="22"/>
        </w:rPr>
        <w:t xml:space="preserve"> health centres.  It will also provide for the supply of new medical equipment for these </w:t>
      </w:r>
      <w:r w:rsidR="002326E8" w:rsidRPr="00D32E2D">
        <w:rPr>
          <w:rFonts w:cs="Arial"/>
          <w:szCs w:val="22"/>
        </w:rPr>
        <w:t>facilities</w:t>
      </w:r>
      <w:r w:rsidR="002326E8" w:rsidRPr="00D32E2D" w:rsidDel="00F83955">
        <w:rPr>
          <w:rFonts w:eastAsia="Arial"/>
        </w:rPr>
        <w:t xml:space="preserve"> </w:t>
      </w:r>
      <w:r w:rsidR="002326E8" w:rsidRPr="00D32E2D">
        <w:rPr>
          <w:rFonts w:eastAsia="Arial"/>
        </w:rPr>
        <w:t>(</w:t>
      </w:r>
      <w:r w:rsidRPr="00D32E2D">
        <w:rPr>
          <w:rFonts w:eastAsia="Arial"/>
        </w:rPr>
        <w:t xml:space="preserve">including essential diagnostic and treatment items for NCDs, such as sphygmomanometers, electrocardiogram machines, pulse oximeters, defibrillators, computerized chemistry machines, etc.); engineering services for construction supervision; and the design and implementation of </w:t>
      </w:r>
      <w:r w:rsidR="00E9076C" w:rsidRPr="00D32E2D">
        <w:rPr>
          <w:rFonts w:eastAsia="Arial"/>
        </w:rPr>
        <w:t xml:space="preserve">a program for </w:t>
      </w:r>
      <w:r w:rsidRPr="00D32E2D">
        <w:rPr>
          <w:rFonts w:eastAsia="Arial"/>
        </w:rPr>
        <w:t>corrective and preventive maintenance of medical equipment.</w:t>
      </w:r>
    </w:p>
    <w:p w14:paraId="65949FA1" w14:textId="6E2DFF36" w:rsidR="00415320" w:rsidRPr="001255E6" w:rsidRDefault="00415320" w:rsidP="00437D1C">
      <w:pPr>
        <w:rPr>
          <w:rFonts w:eastAsia="Arial" w:cs="Arial"/>
          <w:szCs w:val="22"/>
        </w:rPr>
      </w:pPr>
      <w:bookmarkStart w:id="19" w:name="_Hlk520886202"/>
      <w:r w:rsidRPr="001255E6">
        <w:rPr>
          <w:rFonts w:eastAsia="Arial" w:cs="Arial"/>
          <w:b/>
          <w:bCs/>
          <w:szCs w:val="22"/>
        </w:rPr>
        <w:t>Subcomponent 1.2. Increasing the capacity and efficiency of hospital services.</w:t>
      </w:r>
      <w:r w:rsidRPr="001255E6">
        <w:rPr>
          <w:rFonts w:eastAsia="Arial" w:cs="Arial"/>
          <w:szCs w:val="22"/>
        </w:rPr>
        <w:t xml:space="preserve"> </w:t>
      </w:r>
      <w:bookmarkEnd w:id="19"/>
      <w:r w:rsidRPr="001255E6">
        <w:rPr>
          <w:rFonts w:eastAsia="Arial" w:cs="Arial"/>
          <w:szCs w:val="22"/>
        </w:rPr>
        <w:t xml:space="preserve">This subcomponent will address urgent needs to enhance patient safety and services in three hospitals whose catchment areas contain the health centres identified in subcomponent 1.1. Raising the level of complexity of services and the installed capacity to provide them at the centres and their reference hospitals should generate a more rational utilization of resources at both types of facilities, since the hospitals will be less burdened by primary care patients and will be able to utilize their assets on treatment of acute cases. Financing from this subcomponent will be allocated to: (i) the building and engineering designs for infrastructure improvement and expansion; (ii) the construction in three hospitals according to contracted plans and designs; (iii) the purchase of medical equipment to raise clinical capacity to partially account for existing demand; (iv) the purchase of imaging equipment, including computerized tomography machines; (v) industrial style laundry machines; (vi) construction supervision services; and (vii) the design and implementation of a corrective and preventive equipment maintenance programme. </w:t>
      </w:r>
    </w:p>
    <w:p w14:paraId="73769D49" w14:textId="44467845" w:rsidR="00344367" w:rsidRPr="001255E6" w:rsidRDefault="00415320" w:rsidP="00437D1C">
      <w:pPr>
        <w:rPr>
          <w:rFonts w:eastAsia="Arial" w:cs="Arial"/>
          <w:szCs w:val="22"/>
        </w:rPr>
      </w:pPr>
      <w:bookmarkStart w:id="20" w:name="_Hlk520886217"/>
      <w:r w:rsidRPr="001255E6">
        <w:rPr>
          <w:rFonts w:eastAsia="Arial" w:cs="Arial"/>
          <w:b/>
          <w:bCs/>
          <w:szCs w:val="22"/>
        </w:rPr>
        <w:t xml:space="preserve">Component 2. Improvement of management, </w:t>
      </w:r>
      <w:r w:rsidR="00424B33" w:rsidRPr="001255E6">
        <w:rPr>
          <w:rFonts w:eastAsia="Arial" w:cs="Arial"/>
          <w:b/>
          <w:bCs/>
          <w:szCs w:val="22"/>
        </w:rPr>
        <w:t>quality,</w:t>
      </w:r>
      <w:r w:rsidRPr="001255E6">
        <w:rPr>
          <w:rFonts w:eastAsia="Arial" w:cs="Arial"/>
          <w:b/>
          <w:bCs/>
          <w:szCs w:val="22"/>
        </w:rPr>
        <w:t xml:space="preserve"> and efficiency of health services.</w:t>
      </w:r>
      <w:r w:rsidRPr="001255E6">
        <w:rPr>
          <w:rFonts w:eastAsia="Arial" w:cs="Arial"/>
          <w:szCs w:val="22"/>
        </w:rPr>
        <w:t xml:space="preserve"> </w:t>
      </w:r>
      <w:bookmarkEnd w:id="20"/>
      <w:r w:rsidRPr="001255E6">
        <w:rPr>
          <w:rFonts w:eastAsia="Arial" w:cs="Arial"/>
          <w:szCs w:val="22"/>
        </w:rPr>
        <w:t>The component provide</w:t>
      </w:r>
      <w:r w:rsidR="00CA1FF2">
        <w:rPr>
          <w:rFonts w:eastAsia="Arial" w:cs="Arial"/>
          <w:szCs w:val="22"/>
        </w:rPr>
        <w:t>s</w:t>
      </w:r>
      <w:r w:rsidRPr="001255E6">
        <w:rPr>
          <w:rFonts w:eastAsia="Arial" w:cs="Arial"/>
          <w:szCs w:val="22"/>
        </w:rPr>
        <w:t xml:space="preserve"> technical assistance to design and implement the CCM in the participating health services networks; to review and develop care pathways and protocols; and to prepare change management, continuous quality improvement and social marketing for behaviour change strategies. It will also finance the implementation of the fourth Jamaica Health and Lifestyle Survey. </w:t>
      </w:r>
      <w:r w:rsidR="00946EAA">
        <w:rPr>
          <w:rFonts w:eastAsia="Arial" w:cs="Arial"/>
          <w:szCs w:val="22"/>
        </w:rPr>
        <w:t>Moreo</w:t>
      </w:r>
      <w:r w:rsidR="000E3A64">
        <w:rPr>
          <w:rFonts w:eastAsia="Arial" w:cs="Arial"/>
          <w:szCs w:val="22"/>
        </w:rPr>
        <w:t xml:space="preserve">ver, this component will contribute to overcoming </w:t>
      </w:r>
      <w:r w:rsidRPr="001255E6">
        <w:rPr>
          <w:rFonts w:eastAsia="Arial" w:cs="Arial"/>
          <w:szCs w:val="22"/>
        </w:rPr>
        <w:t xml:space="preserve">the lack of reliable and timely information for policy formulation and planning </w:t>
      </w:r>
      <w:r w:rsidR="00C44FD6">
        <w:rPr>
          <w:rFonts w:eastAsia="Arial" w:cs="Arial"/>
          <w:szCs w:val="22"/>
        </w:rPr>
        <w:t>and</w:t>
      </w:r>
      <w:r w:rsidRPr="001255E6">
        <w:rPr>
          <w:rFonts w:eastAsia="Arial" w:cs="Arial"/>
          <w:szCs w:val="22"/>
        </w:rPr>
        <w:t xml:space="preserve"> patient clinical management</w:t>
      </w:r>
      <w:r w:rsidR="00024304">
        <w:rPr>
          <w:rFonts w:eastAsia="Arial" w:cs="Arial"/>
          <w:szCs w:val="22"/>
        </w:rPr>
        <w:t xml:space="preserve"> through</w:t>
      </w:r>
      <w:r w:rsidRPr="001255E6">
        <w:rPr>
          <w:rFonts w:eastAsia="Arial" w:cs="Arial"/>
          <w:szCs w:val="22"/>
        </w:rPr>
        <w:t>: (i) </w:t>
      </w:r>
      <w:r w:rsidR="00024304">
        <w:rPr>
          <w:rFonts w:eastAsia="Arial" w:cs="Arial"/>
          <w:szCs w:val="22"/>
        </w:rPr>
        <w:t>C</w:t>
      </w:r>
      <w:r w:rsidRPr="001255E6">
        <w:rPr>
          <w:rFonts w:eastAsia="Arial" w:cs="Arial"/>
          <w:szCs w:val="22"/>
        </w:rPr>
        <w:t>reatin</w:t>
      </w:r>
      <w:r w:rsidR="00024304">
        <w:rPr>
          <w:rFonts w:eastAsia="Arial" w:cs="Arial"/>
          <w:szCs w:val="22"/>
        </w:rPr>
        <w:t>g</w:t>
      </w:r>
      <w:r w:rsidRPr="001255E6">
        <w:rPr>
          <w:rFonts w:eastAsia="Arial" w:cs="Arial"/>
          <w:szCs w:val="22"/>
        </w:rPr>
        <w:t xml:space="preserve"> a strong foundation for a digital health ecosystem, including the adoption of standards for interoperability, system architecture, updated governance structure, and other key elements</w:t>
      </w:r>
      <w:r w:rsidR="00FA751A">
        <w:rPr>
          <w:rFonts w:eastAsia="Arial" w:cs="Arial"/>
          <w:szCs w:val="22"/>
        </w:rPr>
        <w:t xml:space="preserve">. </w:t>
      </w:r>
      <w:r w:rsidRPr="001255E6">
        <w:rPr>
          <w:rFonts w:eastAsia="Arial" w:cs="Arial"/>
          <w:szCs w:val="22"/>
        </w:rPr>
        <w:t>(ii) </w:t>
      </w:r>
      <w:r w:rsidR="00FA751A">
        <w:rPr>
          <w:rFonts w:eastAsia="Arial" w:cs="Arial"/>
          <w:szCs w:val="22"/>
        </w:rPr>
        <w:t>T</w:t>
      </w:r>
      <w:r w:rsidRPr="001255E6">
        <w:rPr>
          <w:rFonts w:eastAsia="Arial" w:cs="Arial"/>
          <w:szCs w:val="22"/>
        </w:rPr>
        <w:t>he design and implementation of a sustainable Electronic Health Record (EHR) platform</w:t>
      </w:r>
      <w:r w:rsidR="007F2B52">
        <w:rPr>
          <w:rFonts w:eastAsia="Arial" w:cs="Arial"/>
          <w:szCs w:val="22"/>
        </w:rPr>
        <w:t xml:space="preserve"> and the d</w:t>
      </w:r>
      <w:r w:rsidR="008979EF">
        <w:rPr>
          <w:rFonts w:eastAsia="Arial" w:cs="Arial"/>
          <w:szCs w:val="22"/>
        </w:rPr>
        <w:t>igitaliz</w:t>
      </w:r>
      <w:r w:rsidR="000346F5">
        <w:rPr>
          <w:rFonts w:eastAsia="Arial" w:cs="Arial"/>
          <w:szCs w:val="22"/>
        </w:rPr>
        <w:t>ation of</w:t>
      </w:r>
      <w:r w:rsidR="008979EF">
        <w:rPr>
          <w:rFonts w:eastAsia="Arial" w:cs="Arial"/>
          <w:szCs w:val="22"/>
        </w:rPr>
        <w:t xml:space="preserve"> </w:t>
      </w:r>
      <w:r w:rsidR="000346F5">
        <w:rPr>
          <w:rFonts w:eastAsia="Arial" w:cs="Arial"/>
          <w:szCs w:val="22"/>
        </w:rPr>
        <w:t>critical p</w:t>
      </w:r>
      <w:r w:rsidRPr="001255E6">
        <w:rPr>
          <w:rFonts w:eastAsia="Arial" w:cs="Arial"/>
          <w:szCs w:val="22"/>
        </w:rPr>
        <w:t>rocesses within the improved CCM; and (iii) the strengthening of telehealth/telemedicine/</w:t>
      </w:r>
      <w:r w:rsidR="00240546" w:rsidRPr="001255E6">
        <w:rPr>
          <w:rFonts w:eastAsia="Arial" w:cs="Arial"/>
          <w:szCs w:val="22"/>
        </w:rPr>
        <w:t>telementoring</w:t>
      </w:r>
      <w:r w:rsidRPr="001255E6">
        <w:rPr>
          <w:rFonts w:eastAsia="Arial" w:cs="Arial"/>
          <w:szCs w:val="22"/>
        </w:rPr>
        <w:t xml:space="preserve"> capacity include</w:t>
      </w:r>
      <w:r w:rsidR="000346F5">
        <w:rPr>
          <w:rFonts w:eastAsia="Arial" w:cs="Arial"/>
          <w:szCs w:val="22"/>
        </w:rPr>
        <w:t>s</w:t>
      </w:r>
      <w:r w:rsidRPr="001255E6">
        <w:rPr>
          <w:rFonts w:eastAsia="Arial" w:cs="Arial"/>
          <w:szCs w:val="22"/>
        </w:rPr>
        <w:t xml:space="preserve"> chronic care management, and establish</w:t>
      </w:r>
      <w:r w:rsidR="00253710">
        <w:rPr>
          <w:rFonts w:eastAsia="Arial" w:cs="Arial"/>
          <w:szCs w:val="22"/>
        </w:rPr>
        <w:t xml:space="preserve">ing </w:t>
      </w:r>
      <w:r w:rsidRPr="001255E6">
        <w:rPr>
          <w:rFonts w:eastAsia="Arial" w:cs="Arial"/>
          <w:szCs w:val="22"/>
        </w:rPr>
        <w:t>norms and processes for its institutionalization.</w:t>
      </w:r>
    </w:p>
    <w:p w14:paraId="0F1CE013" w14:textId="63BAF0AF" w:rsidR="00C74778" w:rsidRPr="001255E6" w:rsidRDefault="00C74778" w:rsidP="00C74778">
      <w:pPr>
        <w:rPr>
          <w:rFonts w:eastAsia="Arial" w:cs="Arial"/>
          <w:szCs w:val="22"/>
          <w:u w:val="single"/>
        </w:rPr>
      </w:pPr>
      <w:r w:rsidRPr="001255E6">
        <w:rPr>
          <w:rFonts w:eastAsia="Arial" w:cs="Arial"/>
          <w:szCs w:val="22"/>
          <w:u w:val="single"/>
        </w:rPr>
        <w:t xml:space="preserve">The effect of Covid-19 </w:t>
      </w:r>
      <w:r w:rsidR="007E486D" w:rsidRPr="001255E6">
        <w:rPr>
          <w:rFonts w:eastAsia="Arial" w:cs="Arial"/>
          <w:szCs w:val="22"/>
          <w:u w:val="single"/>
        </w:rPr>
        <w:t>public health</w:t>
      </w:r>
      <w:r w:rsidRPr="001255E6">
        <w:rPr>
          <w:rFonts w:eastAsia="Arial" w:cs="Arial"/>
          <w:szCs w:val="22"/>
          <w:u w:val="single"/>
        </w:rPr>
        <w:t xml:space="preserve"> crisis in the Programme</w:t>
      </w:r>
    </w:p>
    <w:p w14:paraId="688E24E2" w14:textId="2A64F5EB" w:rsidR="0063532B" w:rsidRPr="001255E6" w:rsidRDefault="0063532B" w:rsidP="0063532B">
      <w:pPr>
        <w:rPr>
          <w:rFonts w:eastAsia="Arial" w:cs="Arial"/>
          <w:szCs w:val="22"/>
        </w:rPr>
      </w:pPr>
      <w:r w:rsidRPr="001255E6">
        <w:rPr>
          <w:rFonts w:eastAsia="Arial" w:cs="Arial"/>
          <w:szCs w:val="22"/>
        </w:rPr>
        <w:t xml:space="preserve">Jamaica is within the countries affected by the Covid-19 pandemic. The MOHW reported the first </w:t>
      </w:r>
      <w:r w:rsidR="0057331D">
        <w:rPr>
          <w:rFonts w:eastAsia="Arial" w:cs="Arial"/>
          <w:szCs w:val="22"/>
        </w:rPr>
        <w:t>patient</w:t>
      </w:r>
      <w:r w:rsidRPr="001255E6">
        <w:rPr>
          <w:rFonts w:eastAsia="Arial" w:cs="Arial"/>
          <w:szCs w:val="22"/>
        </w:rPr>
        <w:t xml:space="preserve"> on March 10</w:t>
      </w:r>
      <w:r w:rsidR="0057331D">
        <w:rPr>
          <w:rFonts w:eastAsia="Arial" w:cs="Arial"/>
          <w:szCs w:val="22"/>
        </w:rPr>
        <w:t>, 2020,</w:t>
      </w:r>
      <w:r w:rsidRPr="001255E6">
        <w:rPr>
          <w:rFonts w:eastAsia="Arial" w:cs="Arial"/>
          <w:szCs w:val="22"/>
        </w:rPr>
        <w:t xml:space="preserve"> and by </w:t>
      </w:r>
      <w:r w:rsidR="00DE636B">
        <w:rPr>
          <w:rFonts w:eastAsia="Arial" w:cs="Arial"/>
          <w:szCs w:val="22"/>
        </w:rPr>
        <w:t>January</w:t>
      </w:r>
      <w:r w:rsidRPr="001255E6">
        <w:rPr>
          <w:rFonts w:eastAsia="Arial" w:cs="Arial"/>
          <w:szCs w:val="22"/>
        </w:rPr>
        <w:t xml:space="preserve"> </w:t>
      </w:r>
      <w:r w:rsidR="002A0AF8">
        <w:rPr>
          <w:rFonts w:eastAsia="Arial" w:cs="Arial"/>
          <w:szCs w:val="22"/>
        </w:rPr>
        <w:t>1</w:t>
      </w:r>
      <w:r w:rsidR="00F1184B">
        <w:rPr>
          <w:rFonts w:eastAsia="Arial" w:cs="Arial"/>
          <w:szCs w:val="22"/>
        </w:rPr>
        <w:t>3</w:t>
      </w:r>
      <w:r w:rsidR="002A0AF8">
        <w:rPr>
          <w:rFonts w:eastAsia="Arial" w:cs="Arial"/>
          <w:szCs w:val="22"/>
        </w:rPr>
        <w:t xml:space="preserve">, </w:t>
      </w:r>
      <w:r w:rsidRPr="001255E6">
        <w:rPr>
          <w:rFonts w:eastAsia="Arial" w:cs="Arial"/>
          <w:szCs w:val="22"/>
        </w:rPr>
        <w:t>202</w:t>
      </w:r>
      <w:r w:rsidR="00DE636B">
        <w:rPr>
          <w:rFonts w:eastAsia="Arial" w:cs="Arial"/>
          <w:szCs w:val="22"/>
        </w:rPr>
        <w:t>1</w:t>
      </w:r>
      <w:r w:rsidRPr="001255E6">
        <w:rPr>
          <w:rFonts w:eastAsia="Arial" w:cs="Arial"/>
          <w:szCs w:val="22"/>
        </w:rPr>
        <w:t xml:space="preserve">, it has </w:t>
      </w:r>
      <w:r w:rsidR="002A0AF8">
        <w:rPr>
          <w:rFonts w:eastAsia="Arial" w:cs="Arial"/>
          <w:szCs w:val="22"/>
        </w:rPr>
        <w:t>13,759</w:t>
      </w:r>
      <w:r w:rsidR="002A0AF8" w:rsidRPr="001255E6">
        <w:rPr>
          <w:rFonts w:eastAsia="Arial" w:cs="Arial"/>
          <w:szCs w:val="22"/>
        </w:rPr>
        <w:t xml:space="preserve"> </w:t>
      </w:r>
      <w:r w:rsidR="0061344F">
        <w:rPr>
          <w:rFonts w:eastAsia="Arial" w:cs="Arial"/>
          <w:szCs w:val="22"/>
        </w:rPr>
        <w:t>patient</w:t>
      </w:r>
      <w:r w:rsidR="0061344F" w:rsidRPr="001255E6">
        <w:rPr>
          <w:rFonts w:eastAsia="Arial" w:cs="Arial"/>
          <w:szCs w:val="22"/>
        </w:rPr>
        <w:t>s</w:t>
      </w:r>
      <w:r w:rsidR="001E3FB1">
        <w:rPr>
          <w:rFonts w:eastAsia="Arial" w:cs="Arial"/>
          <w:szCs w:val="22"/>
        </w:rPr>
        <w:t xml:space="preserve">. The Covid-19 incidence is </w:t>
      </w:r>
      <w:r w:rsidR="0061344F">
        <w:rPr>
          <w:rFonts w:eastAsia="Arial" w:cs="Arial"/>
          <w:szCs w:val="22"/>
        </w:rPr>
        <w:t xml:space="preserve">472 </w:t>
      </w:r>
      <w:r w:rsidRPr="001255E6">
        <w:rPr>
          <w:rFonts w:eastAsia="Arial" w:cs="Arial"/>
          <w:szCs w:val="22"/>
        </w:rPr>
        <w:t xml:space="preserve">per 100,000 </w:t>
      </w:r>
      <w:r w:rsidR="0061344F">
        <w:rPr>
          <w:rFonts w:eastAsia="Arial" w:cs="Arial"/>
          <w:szCs w:val="22"/>
        </w:rPr>
        <w:t>inhabitants</w:t>
      </w:r>
      <w:r w:rsidRPr="001255E6">
        <w:rPr>
          <w:rFonts w:eastAsia="Arial" w:cs="Arial"/>
          <w:szCs w:val="22"/>
        </w:rPr>
        <w:t xml:space="preserve">. The pandemic has caused </w:t>
      </w:r>
      <w:r w:rsidR="00FC2F34">
        <w:rPr>
          <w:rFonts w:eastAsia="Arial" w:cs="Arial"/>
          <w:szCs w:val="22"/>
        </w:rPr>
        <w:t>313</w:t>
      </w:r>
      <w:r w:rsidR="00FC2F34" w:rsidRPr="001255E6">
        <w:rPr>
          <w:rFonts w:eastAsia="Arial" w:cs="Arial"/>
          <w:szCs w:val="22"/>
        </w:rPr>
        <w:t xml:space="preserve"> </w:t>
      </w:r>
      <w:r w:rsidRPr="001255E6">
        <w:rPr>
          <w:rFonts w:eastAsia="Arial" w:cs="Arial"/>
          <w:szCs w:val="22"/>
        </w:rPr>
        <w:t xml:space="preserve">deaths, which </w:t>
      </w:r>
      <w:r w:rsidR="00F96A15">
        <w:rPr>
          <w:rFonts w:eastAsia="Arial" w:cs="Arial"/>
          <w:szCs w:val="22"/>
        </w:rPr>
        <w:t xml:space="preserve">means a </w:t>
      </w:r>
      <w:r w:rsidR="006762A7">
        <w:rPr>
          <w:rFonts w:eastAsia="Arial" w:cs="Arial"/>
          <w:szCs w:val="22"/>
        </w:rPr>
        <w:t>2.2</w:t>
      </w:r>
      <w:r w:rsidRPr="001255E6">
        <w:rPr>
          <w:rFonts w:eastAsia="Arial" w:cs="Arial"/>
          <w:szCs w:val="22"/>
        </w:rPr>
        <w:t xml:space="preserve"> case fatality rate</w:t>
      </w:r>
      <w:r w:rsidR="001E3FB1">
        <w:rPr>
          <w:rFonts w:eastAsia="Arial" w:cs="Arial"/>
          <w:szCs w:val="22"/>
        </w:rPr>
        <w:t>,</w:t>
      </w:r>
      <w:r w:rsidRPr="001255E6">
        <w:rPr>
          <w:rFonts w:eastAsia="Arial" w:cs="Arial"/>
          <w:szCs w:val="22"/>
        </w:rPr>
        <w:t xml:space="preserve"> </w:t>
      </w:r>
      <w:r w:rsidR="00712AC0">
        <w:rPr>
          <w:rFonts w:eastAsia="Arial" w:cs="Arial"/>
          <w:szCs w:val="22"/>
        </w:rPr>
        <w:t>below the LAC</w:t>
      </w:r>
      <w:r w:rsidRPr="001255E6">
        <w:rPr>
          <w:rFonts w:eastAsia="Arial" w:cs="Arial"/>
          <w:szCs w:val="22"/>
        </w:rPr>
        <w:t xml:space="preserve"> average of </w:t>
      </w:r>
      <w:r w:rsidR="00712AC0">
        <w:rPr>
          <w:rFonts w:eastAsia="Arial" w:cs="Arial"/>
          <w:szCs w:val="22"/>
        </w:rPr>
        <w:t>3</w:t>
      </w:r>
      <w:r w:rsidRPr="001255E6">
        <w:rPr>
          <w:rFonts w:eastAsia="Arial" w:cs="Arial"/>
          <w:szCs w:val="22"/>
        </w:rPr>
        <w:t>.</w:t>
      </w:r>
      <w:r w:rsidR="00712AC0">
        <w:rPr>
          <w:rFonts w:eastAsia="Arial" w:cs="Arial"/>
          <w:szCs w:val="22"/>
        </w:rPr>
        <w:t>5</w:t>
      </w:r>
      <w:r w:rsidRPr="001255E6">
        <w:rPr>
          <w:rFonts w:eastAsia="Arial" w:cs="Arial"/>
          <w:szCs w:val="22"/>
        </w:rPr>
        <w:t>%.</w:t>
      </w:r>
      <w:r w:rsidR="008E7808">
        <w:rPr>
          <w:rFonts w:eastAsia="Arial" w:cs="Arial"/>
          <w:szCs w:val="22"/>
        </w:rPr>
        <w:t xml:space="preserve"> </w:t>
      </w:r>
      <w:r w:rsidRPr="001255E6">
        <w:rPr>
          <w:rFonts w:eastAsia="Arial" w:cs="Arial"/>
          <w:szCs w:val="22"/>
        </w:rPr>
        <w:t xml:space="preserve">The parishes in the intervention area of the Programme are St. Catherine, St. Ann, and Clarendon. These parishes account for </w:t>
      </w:r>
      <w:r w:rsidR="00402FF8">
        <w:rPr>
          <w:rFonts w:eastAsia="Arial" w:cs="Arial"/>
          <w:szCs w:val="22"/>
        </w:rPr>
        <w:t>3</w:t>
      </w:r>
      <w:r w:rsidR="00B34E92">
        <w:rPr>
          <w:rFonts w:eastAsia="Arial" w:cs="Arial"/>
          <w:szCs w:val="22"/>
        </w:rPr>
        <w:t>,</w:t>
      </w:r>
      <w:r w:rsidR="00402FF8">
        <w:rPr>
          <w:rFonts w:eastAsia="Arial" w:cs="Arial"/>
          <w:szCs w:val="22"/>
        </w:rPr>
        <w:t>782</w:t>
      </w:r>
      <w:r w:rsidR="00402FF8" w:rsidRPr="001255E6">
        <w:rPr>
          <w:rFonts w:eastAsia="Arial" w:cs="Arial"/>
          <w:szCs w:val="22"/>
        </w:rPr>
        <w:t xml:space="preserve"> </w:t>
      </w:r>
      <w:r w:rsidRPr="001255E6">
        <w:rPr>
          <w:rFonts w:eastAsia="Arial" w:cs="Arial"/>
          <w:szCs w:val="22"/>
        </w:rPr>
        <w:t xml:space="preserve">Covid-19 cases, which represent </w:t>
      </w:r>
      <w:r w:rsidR="00571074">
        <w:rPr>
          <w:rFonts w:eastAsia="Arial" w:cs="Arial"/>
          <w:szCs w:val="22"/>
        </w:rPr>
        <w:t>32</w:t>
      </w:r>
      <w:r w:rsidR="00096E43" w:rsidRPr="001255E6">
        <w:rPr>
          <w:rFonts w:eastAsia="Arial" w:cs="Arial"/>
          <w:szCs w:val="22"/>
        </w:rPr>
        <w:t>%</w:t>
      </w:r>
      <w:r w:rsidRPr="001255E6">
        <w:rPr>
          <w:rFonts w:eastAsia="Arial" w:cs="Arial"/>
          <w:szCs w:val="22"/>
        </w:rPr>
        <w:t xml:space="preserve"> of the total number of Covid-19 cases in the Country (St. Catherine n=</w:t>
      </w:r>
      <w:r w:rsidR="00F1184B">
        <w:rPr>
          <w:rFonts w:eastAsia="Arial" w:cs="Arial"/>
          <w:szCs w:val="22"/>
        </w:rPr>
        <w:t>2841</w:t>
      </w:r>
      <w:r w:rsidRPr="001255E6">
        <w:rPr>
          <w:rFonts w:eastAsia="Arial" w:cs="Arial"/>
          <w:szCs w:val="22"/>
        </w:rPr>
        <w:t xml:space="preserve">, St. Ann n= </w:t>
      </w:r>
      <w:r w:rsidR="00F1184B">
        <w:rPr>
          <w:rFonts w:eastAsia="Arial" w:cs="Arial"/>
          <w:szCs w:val="22"/>
        </w:rPr>
        <w:t>891</w:t>
      </w:r>
      <w:r w:rsidRPr="001255E6">
        <w:rPr>
          <w:rFonts w:eastAsia="Arial" w:cs="Arial"/>
          <w:szCs w:val="22"/>
        </w:rPr>
        <w:t>, Clarendon n=</w:t>
      </w:r>
      <w:r w:rsidR="00F1184B">
        <w:rPr>
          <w:rFonts w:eastAsia="Arial" w:cs="Arial"/>
          <w:szCs w:val="22"/>
        </w:rPr>
        <w:t>662</w:t>
      </w:r>
      <w:r w:rsidRPr="001255E6">
        <w:rPr>
          <w:rFonts w:eastAsia="Arial" w:cs="Arial"/>
          <w:szCs w:val="22"/>
        </w:rPr>
        <w:t xml:space="preserve">). </w:t>
      </w:r>
    </w:p>
    <w:p w14:paraId="509CE67D" w14:textId="1A9E89BB" w:rsidR="001249F4" w:rsidRPr="001255E6" w:rsidRDefault="0063532B" w:rsidP="0063532B">
      <w:pPr>
        <w:rPr>
          <w:rFonts w:eastAsia="Arial" w:cs="Arial"/>
          <w:szCs w:val="22"/>
        </w:rPr>
      </w:pPr>
      <w:r w:rsidRPr="001255E6">
        <w:rPr>
          <w:rFonts w:eastAsia="Arial" w:cs="Arial"/>
          <w:szCs w:val="22"/>
        </w:rPr>
        <w:lastRenderedPageBreak/>
        <w:t xml:space="preserve">The MOHW </w:t>
      </w:r>
      <w:r w:rsidR="00DA3347">
        <w:rPr>
          <w:rFonts w:eastAsia="Arial" w:cs="Arial"/>
          <w:szCs w:val="22"/>
        </w:rPr>
        <w:t xml:space="preserve">has been </w:t>
      </w:r>
      <w:r w:rsidR="008E7808">
        <w:rPr>
          <w:rFonts w:eastAsia="Arial" w:cs="Arial"/>
          <w:szCs w:val="22"/>
        </w:rPr>
        <w:t>implement</w:t>
      </w:r>
      <w:r w:rsidR="00DA3347">
        <w:rPr>
          <w:rFonts w:eastAsia="Arial" w:cs="Arial"/>
          <w:szCs w:val="22"/>
        </w:rPr>
        <w:t xml:space="preserve">ing </w:t>
      </w:r>
      <w:r w:rsidRPr="001255E6">
        <w:rPr>
          <w:rFonts w:eastAsia="Arial" w:cs="Arial"/>
          <w:szCs w:val="22"/>
        </w:rPr>
        <w:t xml:space="preserve">actions to contain the </w:t>
      </w:r>
      <w:r w:rsidR="0043372B">
        <w:rPr>
          <w:rFonts w:eastAsia="Arial" w:cs="Arial"/>
          <w:szCs w:val="22"/>
        </w:rPr>
        <w:t xml:space="preserve">pandemic’s </w:t>
      </w:r>
      <w:r w:rsidRPr="001255E6">
        <w:rPr>
          <w:rFonts w:eastAsia="Arial" w:cs="Arial"/>
          <w:szCs w:val="22"/>
        </w:rPr>
        <w:t>spread through case detection and management, including isolation of patients, contact tracing, community lockdowns</w:t>
      </w:r>
      <w:r w:rsidR="0043372B">
        <w:rPr>
          <w:rFonts w:eastAsia="Arial" w:cs="Arial"/>
          <w:szCs w:val="22"/>
        </w:rPr>
        <w:t>,</w:t>
      </w:r>
      <w:r w:rsidRPr="001255E6">
        <w:rPr>
          <w:rFonts w:eastAsia="Arial" w:cs="Arial"/>
          <w:szCs w:val="22"/>
        </w:rPr>
        <w:t xml:space="preserve"> and continuous information and education to the population. The MOHW also strengthened the </w:t>
      </w:r>
      <w:r w:rsidR="000D05DE" w:rsidRPr="001255E6">
        <w:rPr>
          <w:rFonts w:eastAsia="Arial" w:cs="Arial"/>
          <w:szCs w:val="22"/>
        </w:rPr>
        <w:t xml:space="preserve">medical facilities </w:t>
      </w:r>
      <w:r w:rsidRPr="001255E6">
        <w:rPr>
          <w:rFonts w:eastAsia="Arial" w:cs="Arial"/>
          <w:szCs w:val="22"/>
        </w:rPr>
        <w:t xml:space="preserve">response capacity of the, trained health personnel, provided </w:t>
      </w:r>
      <w:r w:rsidRPr="00514E9B">
        <w:rPr>
          <w:rFonts w:eastAsia="Arial" w:cs="Arial"/>
          <w:szCs w:val="22"/>
        </w:rPr>
        <w:t>personal protective equipment</w:t>
      </w:r>
      <w:r w:rsidR="00706A12" w:rsidRPr="00514E9B">
        <w:rPr>
          <w:rFonts w:eastAsia="Arial" w:cs="Arial"/>
          <w:szCs w:val="22"/>
        </w:rPr>
        <w:t xml:space="preserve">, supplied </w:t>
      </w:r>
      <w:r w:rsidR="00FA2F17" w:rsidRPr="00514E9B">
        <w:rPr>
          <w:rFonts w:eastAsia="Arial" w:cs="Arial"/>
          <w:szCs w:val="22"/>
        </w:rPr>
        <w:t>medical equipment,</w:t>
      </w:r>
      <w:r w:rsidRPr="00514E9B">
        <w:rPr>
          <w:rFonts w:eastAsia="Arial" w:cs="Arial"/>
          <w:szCs w:val="22"/>
        </w:rPr>
        <w:t xml:space="preserve"> and adapted the medical facilities to manage Covid-19 patients.</w:t>
      </w:r>
      <w:r w:rsidR="005D09BF" w:rsidRPr="00514E9B">
        <w:rPr>
          <w:rFonts w:eastAsia="Arial" w:cs="Arial"/>
          <w:szCs w:val="22"/>
        </w:rPr>
        <w:t xml:space="preserve"> These</w:t>
      </w:r>
      <w:r w:rsidR="00FA2F17" w:rsidRPr="00514E9B">
        <w:rPr>
          <w:rFonts w:eastAsia="Arial" w:cs="Arial"/>
          <w:szCs w:val="22"/>
        </w:rPr>
        <w:t xml:space="preserve"> </w:t>
      </w:r>
      <w:r w:rsidR="005D09BF" w:rsidRPr="00514E9B">
        <w:rPr>
          <w:rFonts w:eastAsia="Arial" w:cs="Arial"/>
          <w:szCs w:val="22"/>
        </w:rPr>
        <w:t>include: the creation of a 22 bed COVID Ward at the Spanish Town Hospital, the retrofitting of an existing 26</w:t>
      </w:r>
      <w:r w:rsidR="00E5468A" w:rsidRPr="00514E9B">
        <w:rPr>
          <w:rFonts w:eastAsia="Arial" w:cs="Arial"/>
          <w:szCs w:val="22"/>
        </w:rPr>
        <w:t xml:space="preserve"> </w:t>
      </w:r>
      <w:r w:rsidR="000820C7" w:rsidRPr="00514E9B">
        <w:rPr>
          <w:rFonts w:eastAsia="Arial" w:cs="Arial"/>
          <w:szCs w:val="22"/>
        </w:rPr>
        <w:t>bed ward</w:t>
      </w:r>
      <w:r w:rsidR="005D09BF" w:rsidRPr="00514E9B">
        <w:rPr>
          <w:rFonts w:eastAsia="Arial" w:cs="Arial"/>
          <w:szCs w:val="22"/>
        </w:rPr>
        <w:t xml:space="preserve"> for the provision of COVID care at the May Pen Hospital, and t</w:t>
      </w:r>
      <w:r w:rsidR="00E5468A" w:rsidRPr="00514E9B">
        <w:rPr>
          <w:rFonts w:eastAsia="Arial" w:cs="Arial"/>
          <w:szCs w:val="22"/>
        </w:rPr>
        <w:t>he retrofitting of the medical ward to provide 20</w:t>
      </w:r>
      <w:r w:rsidR="005D09BF" w:rsidRPr="00514E9B">
        <w:rPr>
          <w:rFonts w:eastAsia="Arial" w:cs="Arial"/>
          <w:szCs w:val="22"/>
        </w:rPr>
        <w:t xml:space="preserve"> bed spaces for hospital management </w:t>
      </w:r>
      <w:r w:rsidR="00F51463" w:rsidRPr="00514E9B">
        <w:rPr>
          <w:rFonts w:eastAsia="Arial" w:cs="Arial"/>
          <w:szCs w:val="22"/>
        </w:rPr>
        <w:t>of COVID</w:t>
      </w:r>
      <w:r w:rsidR="005D09BF" w:rsidRPr="00514E9B">
        <w:rPr>
          <w:rFonts w:eastAsia="Arial" w:cs="Arial"/>
          <w:szCs w:val="22"/>
        </w:rPr>
        <w:t xml:space="preserve"> positive cases</w:t>
      </w:r>
      <w:r w:rsidR="001249F4" w:rsidRPr="00514E9B">
        <w:rPr>
          <w:rFonts w:eastAsia="Arial" w:cs="Arial"/>
          <w:szCs w:val="22"/>
        </w:rPr>
        <w:t xml:space="preserve"> at the St. Ann’s Bay Regional </w:t>
      </w:r>
      <w:r w:rsidR="00D32E2D" w:rsidRPr="00514E9B">
        <w:rPr>
          <w:rFonts w:eastAsia="Arial" w:cs="Arial"/>
          <w:szCs w:val="22"/>
        </w:rPr>
        <w:t>Hospital</w:t>
      </w:r>
      <w:r w:rsidR="00D32E2D">
        <w:rPr>
          <w:rFonts w:eastAsia="Arial" w:cs="Arial"/>
          <w:szCs w:val="22"/>
        </w:rPr>
        <w:t>.</w:t>
      </w:r>
    </w:p>
    <w:p w14:paraId="4435184B" w14:textId="2DA7281B" w:rsidR="008D72BA" w:rsidRPr="001255E6" w:rsidRDefault="002C5D2F" w:rsidP="00437D1C">
      <w:pPr>
        <w:rPr>
          <w:rFonts w:eastAsia="Arial" w:cs="Arial"/>
          <w:szCs w:val="22"/>
        </w:rPr>
      </w:pPr>
      <w:r w:rsidRPr="001255E6">
        <w:rPr>
          <w:rFonts w:eastAsia="Arial" w:cs="Arial"/>
          <w:szCs w:val="22"/>
        </w:rPr>
        <w:t xml:space="preserve">The Covid-19 sanitary crisis has modified the supply of healthcare in the </w:t>
      </w:r>
      <w:r w:rsidR="00D11D77">
        <w:rPr>
          <w:rFonts w:eastAsia="Arial" w:cs="Arial"/>
          <w:szCs w:val="22"/>
        </w:rPr>
        <w:t xml:space="preserve">loan’s </w:t>
      </w:r>
      <w:r w:rsidRPr="001255E6">
        <w:rPr>
          <w:rFonts w:eastAsia="Arial" w:cs="Arial"/>
          <w:szCs w:val="22"/>
        </w:rPr>
        <w:t xml:space="preserve">intervention area; moreover, it has several effects on the Programme. It is a significant variable to consider for the impact evaluation. The fact that the intervention area has most of the Covid-19 patients has delayed the continuation of the planned activities for 2020 of component 1 of the investment loan, which </w:t>
      </w:r>
      <w:r w:rsidR="0091608A" w:rsidRPr="001255E6">
        <w:rPr>
          <w:rFonts w:eastAsia="Arial" w:cs="Arial"/>
          <w:szCs w:val="22"/>
        </w:rPr>
        <w:t>focus</w:t>
      </w:r>
      <w:r w:rsidR="007A46D6">
        <w:rPr>
          <w:rFonts w:eastAsia="Arial" w:cs="Arial"/>
          <w:szCs w:val="22"/>
        </w:rPr>
        <w:t>es</w:t>
      </w:r>
      <w:r w:rsidR="0091608A" w:rsidRPr="001255E6">
        <w:rPr>
          <w:rFonts w:eastAsia="Arial" w:cs="Arial"/>
          <w:szCs w:val="22"/>
        </w:rPr>
        <w:t xml:space="preserve"> on </w:t>
      </w:r>
      <w:r w:rsidRPr="001255E6">
        <w:rPr>
          <w:rFonts w:eastAsia="Arial" w:cs="Arial"/>
          <w:szCs w:val="22"/>
        </w:rPr>
        <w:t xml:space="preserve">the organization and consolidation of integrated health services networks. Due to the lockdown and </w:t>
      </w:r>
      <w:r w:rsidR="00E31953">
        <w:rPr>
          <w:rFonts w:eastAsia="Arial" w:cs="Arial"/>
          <w:szCs w:val="22"/>
        </w:rPr>
        <w:t>physic</w:t>
      </w:r>
      <w:r w:rsidRPr="001255E6">
        <w:rPr>
          <w:rFonts w:eastAsia="Arial" w:cs="Arial"/>
          <w:szCs w:val="22"/>
        </w:rPr>
        <w:t xml:space="preserve">al distancing restrictions, there is a slowdown of the infrastructure works. Another indirect effect has been the obstacles for non-Covid-19 patients to </w:t>
      </w:r>
      <w:r w:rsidR="00F7521B">
        <w:rPr>
          <w:rFonts w:eastAsia="Arial" w:cs="Arial"/>
          <w:szCs w:val="22"/>
        </w:rPr>
        <w:t xml:space="preserve">access </w:t>
      </w:r>
      <w:r w:rsidRPr="001255E6">
        <w:rPr>
          <w:rFonts w:eastAsia="Arial" w:cs="Arial"/>
          <w:szCs w:val="22"/>
        </w:rPr>
        <w:t xml:space="preserve">medical care. This delay is partly justifiable since NCDs patients and those older than 60 years are at increased risk of developing severe complications if infected with Covid-19. However, this </w:t>
      </w:r>
      <w:r w:rsidR="002C46E7" w:rsidRPr="001255E6">
        <w:rPr>
          <w:rFonts w:eastAsia="Arial" w:cs="Arial"/>
          <w:szCs w:val="22"/>
        </w:rPr>
        <w:t>situation entails an additional risk</w:t>
      </w:r>
      <w:r w:rsidRPr="001255E6">
        <w:rPr>
          <w:rFonts w:eastAsia="Arial" w:cs="Arial"/>
          <w:szCs w:val="22"/>
        </w:rPr>
        <w:t xml:space="preserve">, since if NCDs patients face barriers to access healthcare, it might negatively affect their health status. These considerations </w:t>
      </w:r>
      <w:r w:rsidR="00352EB5">
        <w:rPr>
          <w:rFonts w:eastAsia="Arial" w:cs="Arial"/>
          <w:szCs w:val="22"/>
        </w:rPr>
        <w:t>must</w:t>
      </w:r>
      <w:r w:rsidR="00F7521B">
        <w:rPr>
          <w:rFonts w:eastAsia="Arial" w:cs="Arial"/>
          <w:szCs w:val="22"/>
        </w:rPr>
        <w:t xml:space="preserve"> be taken into account</w:t>
      </w:r>
      <w:r w:rsidRPr="001255E6">
        <w:rPr>
          <w:rFonts w:eastAsia="Arial" w:cs="Arial"/>
          <w:szCs w:val="22"/>
        </w:rPr>
        <w:t xml:space="preserve"> for the design, data collection, and interpretation of the impact evaluation results of the Programme. </w:t>
      </w:r>
    </w:p>
    <w:p w14:paraId="346E8CE4" w14:textId="4939B3BA" w:rsidR="007F3D6B" w:rsidRPr="001255E6" w:rsidRDefault="006E4224" w:rsidP="00BC256B">
      <w:pPr>
        <w:pStyle w:val="Heading2"/>
        <w:rPr>
          <w:rFonts w:eastAsiaTheme="minorHAnsi"/>
        </w:rPr>
      </w:pPr>
      <w:bookmarkStart w:id="21" w:name="_Toc47607323"/>
      <w:r w:rsidRPr="001255E6">
        <w:rPr>
          <w:rFonts w:eastAsiaTheme="minorHAnsi"/>
        </w:rPr>
        <w:t>2.</w:t>
      </w:r>
      <w:r w:rsidR="00A21D52" w:rsidRPr="001255E6">
        <w:rPr>
          <w:rFonts w:eastAsiaTheme="minorHAnsi"/>
        </w:rPr>
        <w:t xml:space="preserve"> </w:t>
      </w:r>
      <w:r w:rsidR="007F3D6B" w:rsidRPr="001255E6">
        <w:rPr>
          <w:rFonts w:eastAsiaTheme="minorHAnsi"/>
        </w:rPr>
        <w:t>Objectives</w:t>
      </w:r>
      <w:r w:rsidR="00292049" w:rsidRPr="001255E6">
        <w:rPr>
          <w:rFonts w:eastAsiaTheme="minorHAnsi"/>
        </w:rPr>
        <w:t xml:space="preserve"> of Evaluation</w:t>
      </w:r>
      <w:bookmarkEnd w:id="21"/>
    </w:p>
    <w:p w14:paraId="0B8A7D0F" w14:textId="2B2C491E" w:rsidR="00711306" w:rsidRPr="001255E6" w:rsidRDefault="00711306" w:rsidP="00711306">
      <w:pPr>
        <w:suppressAutoHyphens w:val="0"/>
        <w:rPr>
          <w:rFonts w:eastAsiaTheme="minorHAnsi"/>
        </w:rPr>
      </w:pPr>
      <w:r w:rsidRPr="001255E6">
        <w:rPr>
          <w:rFonts w:eastAsiaTheme="minorHAnsi"/>
        </w:rPr>
        <w:t xml:space="preserve">The primary objective of the impact evaluation is to ascertain the effectiveness of the Programme to contribute to the reduction of NCDs risk factors and to improve the access, </w:t>
      </w:r>
      <w:r w:rsidR="00453F01" w:rsidRPr="001255E6">
        <w:rPr>
          <w:rFonts w:eastAsiaTheme="minorHAnsi"/>
        </w:rPr>
        <w:t>efficiency,</w:t>
      </w:r>
      <w:r w:rsidRPr="001255E6">
        <w:rPr>
          <w:rFonts w:eastAsiaTheme="minorHAnsi"/>
        </w:rPr>
        <w:t xml:space="preserve"> and quality of ambulatory and hospital care to patients with NCDs in prioritized areas. </w:t>
      </w:r>
    </w:p>
    <w:p w14:paraId="5AEC6EF5" w14:textId="77777777" w:rsidR="00711306" w:rsidRPr="001255E6" w:rsidRDefault="00711306" w:rsidP="00711306">
      <w:pPr>
        <w:suppressAutoHyphens w:val="0"/>
        <w:rPr>
          <w:rFonts w:eastAsiaTheme="minorHAnsi"/>
        </w:rPr>
      </w:pPr>
      <w:r w:rsidRPr="001255E6">
        <w:rPr>
          <w:rFonts w:eastAsiaTheme="minorHAnsi"/>
        </w:rPr>
        <w:t>The specific objectives are:</w:t>
      </w:r>
    </w:p>
    <w:p w14:paraId="3B6983EC" w14:textId="75C3178B" w:rsidR="00711306" w:rsidRPr="001255E6" w:rsidRDefault="00711306" w:rsidP="004F7DD5">
      <w:pPr>
        <w:numPr>
          <w:ilvl w:val="0"/>
          <w:numId w:val="8"/>
        </w:numPr>
        <w:suppressAutoHyphens w:val="0"/>
        <w:rPr>
          <w:rFonts w:eastAsiaTheme="minorHAnsi"/>
        </w:rPr>
      </w:pPr>
      <w:r w:rsidRPr="001255E6">
        <w:rPr>
          <w:rFonts w:eastAsiaTheme="minorHAnsi"/>
        </w:rPr>
        <w:t>To determine the current performance of health services in the target health networks in terms of access and quality of care for NCD’s patients and for Covid-19 patients</w:t>
      </w:r>
      <w:r w:rsidR="007D40E4" w:rsidRPr="001255E6">
        <w:rPr>
          <w:rFonts w:eastAsiaTheme="minorHAnsi"/>
        </w:rPr>
        <w:t xml:space="preserve"> with NCDs</w:t>
      </w:r>
      <w:r w:rsidRPr="001255E6">
        <w:rPr>
          <w:rFonts w:eastAsiaTheme="minorHAnsi"/>
        </w:rPr>
        <w:t>.</w:t>
      </w:r>
    </w:p>
    <w:p w14:paraId="59F6C32F" w14:textId="32AE2ADE" w:rsidR="00711306" w:rsidRPr="001255E6" w:rsidRDefault="00711306" w:rsidP="004F7DD5">
      <w:pPr>
        <w:numPr>
          <w:ilvl w:val="0"/>
          <w:numId w:val="8"/>
        </w:numPr>
        <w:suppressAutoHyphens w:val="0"/>
        <w:rPr>
          <w:rFonts w:eastAsiaTheme="minorHAnsi"/>
        </w:rPr>
      </w:pPr>
      <w:r w:rsidRPr="001255E6">
        <w:rPr>
          <w:rFonts w:eastAsiaTheme="minorHAnsi"/>
        </w:rPr>
        <w:t>To evaluate health outcomes (i.e., metabolic control) of patients with NCDs (cardiovascular conditions, hypertension</w:t>
      </w:r>
      <w:r w:rsidR="00453F01" w:rsidRPr="001255E6">
        <w:rPr>
          <w:rFonts w:eastAsiaTheme="minorHAnsi"/>
        </w:rPr>
        <w:t>,</w:t>
      </w:r>
      <w:r w:rsidRPr="001255E6">
        <w:rPr>
          <w:rFonts w:eastAsiaTheme="minorHAnsi"/>
        </w:rPr>
        <w:t xml:space="preserve"> and diabetes)</w:t>
      </w:r>
      <w:r w:rsidR="00851804" w:rsidRPr="001255E6">
        <w:rPr>
          <w:rFonts w:eastAsiaTheme="minorHAnsi"/>
        </w:rPr>
        <w:t xml:space="preserve"> and with/without Covid-19</w:t>
      </w:r>
    </w:p>
    <w:p w14:paraId="6AAAC2BB" w14:textId="20B6D339" w:rsidR="00711306" w:rsidRPr="001255E6" w:rsidRDefault="00711306" w:rsidP="004F7DD5">
      <w:pPr>
        <w:numPr>
          <w:ilvl w:val="0"/>
          <w:numId w:val="8"/>
        </w:numPr>
        <w:suppressAutoHyphens w:val="0"/>
        <w:rPr>
          <w:rFonts w:eastAsiaTheme="minorHAnsi"/>
        </w:rPr>
      </w:pPr>
      <w:r w:rsidRPr="001255E6">
        <w:rPr>
          <w:rFonts w:eastAsiaTheme="minorHAnsi"/>
        </w:rPr>
        <w:t>To assess the performance of integrated health networks to reduce fragmentation</w:t>
      </w:r>
      <w:r w:rsidR="001C6537" w:rsidRPr="001255E6">
        <w:rPr>
          <w:rStyle w:val="FootnoteReference"/>
          <w:rFonts w:eastAsiaTheme="minorHAnsi"/>
        </w:rPr>
        <w:footnoteReference w:id="3"/>
      </w:r>
      <w:r w:rsidRPr="001255E6">
        <w:rPr>
          <w:rFonts w:eastAsiaTheme="minorHAnsi"/>
        </w:rPr>
        <w:t xml:space="preserve"> of the health services.</w:t>
      </w:r>
    </w:p>
    <w:p w14:paraId="33FD65E9" w14:textId="0E37AA31" w:rsidR="00711306" w:rsidRPr="001255E6" w:rsidRDefault="00711306" w:rsidP="004F7DD5">
      <w:pPr>
        <w:numPr>
          <w:ilvl w:val="0"/>
          <w:numId w:val="8"/>
        </w:numPr>
        <w:suppressAutoHyphens w:val="0"/>
        <w:rPr>
          <w:rFonts w:eastAsiaTheme="minorHAnsi"/>
        </w:rPr>
      </w:pPr>
      <w:r w:rsidRPr="001255E6">
        <w:rPr>
          <w:rFonts w:eastAsiaTheme="minorHAnsi"/>
        </w:rPr>
        <w:t xml:space="preserve">To estimate the </w:t>
      </w:r>
      <w:r w:rsidR="00F3195C">
        <w:rPr>
          <w:rFonts w:eastAsiaTheme="minorHAnsi"/>
        </w:rPr>
        <w:t xml:space="preserve">triage’s </w:t>
      </w:r>
      <w:r w:rsidRPr="001255E6">
        <w:rPr>
          <w:rFonts w:eastAsiaTheme="minorHAnsi"/>
        </w:rPr>
        <w:t>efficiency at the hospitals of the integrated health networks</w:t>
      </w:r>
      <w:r w:rsidR="00A71134" w:rsidRPr="001255E6">
        <w:rPr>
          <w:rFonts w:eastAsiaTheme="minorHAnsi"/>
        </w:rPr>
        <w:t xml:space="preserve"> for patients with NCDs with/without Covid-19</w:t>
      </w:r>
      <w:r w:rsidRPr="001255E6">
        <w:rPr>
          <w:rFonts w:eastAsiaTheme="minorHAnsi"/>
        </w:rPr>
        <w:t>.</w:t>
      </w:r>
    </w:p>
    <w:p w14:paraId="1B3B7DA7" w14:textId="77777777" w:rsidR="00711306" w:rsidRPr="001255E6" w:rsidRDefault="00711306" w:rsidP="004F7DD5">
      <w:pPr>
        <w:numPr>
          <w:ilvl w:val="0"/>
          <w:numId w:val="8"/>
        </w:numPr>
        <w:suppressAutoHyphens w:val="0"/>
        <w:rPr>
          <w:rFonts w:eastAsiaTheme="minorHAnsi"/>
        </w:rPr>
      </w:pPr>
      <w:r w:rsidRPr="001255E6">
        <w:rPr>
          <w:rFonts w:eastAsiaTheme="minorHAnsi"/>
        </w:rPr>
        <w:t xml:space="preserve">To ascertain the users’ perception of the access and quality of healthcare services. </w:t>
      </w:r>
    </w:p>
    <w:p w14:paraId="5450399F" w14:textId="6AB5384C" w:rsidR="00711306" w:rsidRPr="001255E6" w:rsidRDefault="00711306" w:rsidP="004F7DD5">
      <w:pPr>
        <w:numPr>
          <w:ilvl w:val="0"/>
          <w:numId w:val="8"/>
        </w:numPr>
        <w:suppressAutoHyphens w:val="0"/>
        <w:rPr>
          <w:rFonts w:eastAsiaTheme="minorHAnsi"/>
        </w:rPr>
      </w:pPr>
      <w:r w:rsidRPr="001255E6">
        <w:rPr>
          <w:rFonts w:eastAsiaTheme="minorHAnsi"/>
        </w:rPr>
        <w:lastRenderedPageBreak/>
        <w:t>To estimate the impact of the implementation of eHealth solutions (EHR and Telemedicine) on the integrated care pathways and on data quality in the target health networks</w:t>
      </w:r>
      <w:r w:rsidR="009F0032" w:rsidRPr="001255E6">
        <w:rPr>
          <w:rFonts w:eastAsiaTheme="minorHAnsi"/>
        </w:rPr>
        <w:t xml:space="preserve"> for the management of patients with NCDs with/without Covid-19</w:t>
      </w:r>
      <w:r w:rsidRPr="001255E6">
        <w:rPr>
          <w:rFonts w:eastAsiaTheme="minorHAnsi"/>
        </w:rPr>
        <w:t xml:space="preserve">. </w:t>
      </w:r>
    </w:p>
    <w:p w14:paraId="36DC76DF" w14:textId="6ECBBFF5" w:rsidR="002A2927" w:rsidRPr="001255E6" w:rsidRDefault="006E4224" w:rsidP="00BC256B">
      <w:pPr>
        <w:pStyle w:val="Heading2"/>
        <w:rPr>
          <w:rFonts w:eastAsiaTheme="minorHAnsi"/>
        </w:rPr>
      </w:pPr>
      <w:bookmarkStart w:id="22" w:name="_Toc47607324"/>
      <w:r w:rsidRPr="001255E6">
        <w:rPr>
          <w:rFonts w:eastAsiaTheme="minorHAnsi"/>
        </w:rPr>
        <w:t xml:space="preserve">3. </w:t>
      </w:r>
      <w:r w:rsidR="002A2927" w:rsidRPr="001255E6">
        <w:rPr>
          <w:rFonts w:eastAsiaTheme="minorHAnsi"/>
        </w:rPr>
        <w:t>Scope of Services</w:t>
      </w:r>
      <w:bookmarkEnd w:id="22"/>
    </w:p>
    <w:p w14:paraId="72504B09" w14:textId="08D4D100" w:rsidR="004B59E8" w:rsidRPr="001255E6" w:rsidRDefault="00A21D52" w:rsidP="00BC256B">
      <w:pPr>
        <w:pStyle w:val="Heading3"/>
        <w:rPr>
          <w:rFonts w:eastAsia="Times New Roman"/>
          <w:color w:val="auto"/>
        </w:rPr>
      </w:pPr>
      <w:bookmarkStart w:id="23" w:name="_Toc519094813"/>
      <w:bookmarkStart w:id="24" w:name="_Toc47607325"/>
      <w:r w:rsidRPr="001255E6">
        <w:t xml:space="preserve">3.1. </w:t>
      </w:r>
      <w:r w:rsidR="004B59E8" w:rsidRPr="001255E6">
        <w:t>Evaluation design</w:t>
      </w:r>
      <w:bookmarkStart w:id="25" w:name="_Toc519094814"/>
      <w:bookmarkEnd w:id="23"/>
      <w:bookmarkEnd w:id="24"/>
    </w:p>
    <w:p w14:paraId="0D5B8C90" w14:textId="2AAFB0C9" w:rsidR="004B59E8" w:rsidRPr="001255E6" w:rsidRDefault="00A460C8" w:rsidP="00022876">
      <w:pPr>
        <w:rPr>
          <w:rFonts w:eastAsiaTheme="minorHAnsi"/>
        </w:rPr>
      </w:pPr>
      <w:r>
        <w:rPr>
          <w:rFonts w:eastAsiaTheme="minorHAnsi"/>
        </w:rPr>
        <w:t>T</w:t>
      </w:r>
      <w:r w:rsidR="004B59E8" w:rsidRPr="001255E6">
        <w:rPr>
          <w:rFonts w:eastAsiaTheme="minorHAnsi"/>
        </w:rPr>
        <w:t>hrough strengthened integrated health services network</w:t>
      </w:r>
      <w:r>
        <w:rPr>
          <w:rFonts w:eastAsiaTheme="minorHAnsi"/>
        </w:rPr>
        <w:t>s</w:t>
      </w:r>
      <w:r w:rsidR="004B59E8" w:rsidRPr="001255E6">
        <w:rPr>
          <w:rFonts w:eastAsiaTheme="minorHAnsi"/>
        </w:rPr>
        <w:t xml:space="preserve"> with </w:t>
      </w:r>
      <w:r w:rsidR="00712D59">
        <w:rPr>
          <w:rFonts w:eastAsiaTheme="minorHAnsi"/>
        </w:rPr>
        <w:t>robust</w:t>
      </w:r>
      <w:r w:rsidR="00712D59" w:rsidRPr="001255E6">
        <w:rPr>
          <w:rFonts w:eastAsiaTheme="minorHAnsi"/>
        </w:rPr>
        <w:t xml:space="preserve"> </w:t>
      </w:r>
      <w:r w:rsidR="004B59E8" w:rsidRPr="001255E6">
        <w:rPr>
          <w:rFonts w:eastAsiaTheme="minorHAnsi"/>
        </w:rPr>
        <w:t>primary care platforms</w:t>
      </w:r>
      <w:r w:rsidR="00712D59">
        <w:rPr>
          <w:rFonts w:eastAsiaTheme="minorHAnsi"/>
        </w:rPr>
        <w:t>,</w:t>
      </w:r>
      <w:r w:rsidR="004B59E8" w:rsidRPr="001255E6">
        <w:rPr>
          <w:rFonts w:eastAsiaTheme="minorHAnsi"/>
        </w:rPr>
        <w:t xml:space="preserve"> it will be possible to take full advantage of health promotion and prevention</w:t>
      </w:r>
      <w:r w:rsidR="007A452A">
        <w:rPr>
          <w:rFonts w:eastAsiaTheme="minorHAnsi"/>
        </w:rPr>
        <w:t xml:space="preserve"> </w:t>
      </w:r>
      <w:r w:rsidR="0064662B">
        <w:rPr>
          <w:rFonts w:eastAsiaTheme="minorHAnsi"/>
        </w:rPr>
        <w:t>opportunities</w:t>
      </w:r>
      <w:r w:rsidR="004B59E8" w:rsidRPr="001255E6">
        <w:rPr>
          <w:rFonts w:eastAsiaTheme="minorHAnsi"/>
        </w:rPr>
        <w:t xml:space="preserve"> and manage patients with less </w:t>
      </w:r>
      <w:r w:rsidR="0064662B" w:rsidRPr="001255E6">
        <w:rPr>
          <w:rFonts w:eastAsiaTheme="minorHAnsi"/>
        </w:rPr>
        <w:t>c</w:t>
      </w:r>
      <w:r w:rsidR="0064662B">
        <w:rPr>
          <w:rFonts w:eastAsiaTheme="minorHAnsi"/>
        </w:rPr>
        <w:t>omplicated</w:t>
      </w:r>
      <w:r w:rsidR="0064662B" w:rsidRPr="001255E6">
        <w:rPr>
          <w:rFonts w:eastAsiaTheme="minorHAnsi"/>
        </w:rPr>
        <w:t xml:space="preserve"> </w:t>
      </w:r>
      <w:r w:rsidR="004B59E8" w:rsidRPr="001255E6">
        <w:rPr>
          <w:rFonts w:eastAsiaTheme="minorHAnsi"/>
        </w:rPr>
        <w:t>conditions outside the costlier hospital setting. In this manner, hospitals can operate more efficiently and attend to more complex cases in their more resource</w:t>
      </w:r>
      <w:r w:rsidR="00C41844">
        <w:rPr>
          <w:rFonts w:eastAsiaTheme="minorHAnsi"/>
        </w:rPr>
        <w:t>-</w:t>
      </w:r>
      <w:r w:rsidR="004B59E8" w:rsidRPr="001255E6">
        <w:rPr>
          <w:rFonts w:eastAsiaTheme="minorHAnsi"/>
        </w:rPr>
        <w:t xml:space="preserve">intensive environment. </w:t>
      </w:r>
    </w:p>
    <w:p w14:paraId="4CB07409" w14:textId="314CFC13" w:rsidR="00470C9D" w:rsidRPr="001255E6" w:rsidRDefault="00470C9D" w:rsidP="009E4938">
      <w:pPr>
        <w:pStyle w:val="Paragraph"/>
        <w:ind w:left="0"/>
        <w:outlineLvl w:val="9"/>
        <w:rPr>
          <w:rFonts w:ascii="Arial" w:hAnsi="Arial" w:cs="Arial"/>
          <w:sz w:val="22"/>
          <w:szCs w:val="22"/>
        </w:rPr>
      </w:pPr>
      <w:r w:rsidRPr="001255E6">
        <w:rPr>
          <w:rFonts w:ascii="Arial" w:hAnsi="Arial" w:cs="Arial"/>
          <w:sz w:val="22"/>
          <w:szCs w:val="22"/>
        </w:rPr>
        <w:t xml:space="preserve">The evaluation will focus on upgraded and improved hospitals and ten health centres located in the </w:t>
      </w:r>
      <w:r w:rsidR="000B6950" w:rsidRPr="001255E6">
        <w:rPr>
          <w:rFonts w:ascii="Arial" w:hAnsi="Arial" w:cs="Arial"/>
          <w:sz w:val="22"/>
          <w:szCs w:val="22"/>
        </w:rPr>
        <w:t xml:space="preserve">intervention </w:t>
      </w:r>
      <w:r w:rsidR="00514E9B" w:rsidRPr="001255E6">
        <w:rPr>
          <w:rFonts w:ascii="Arial" w:hAnsi="Arial" w:cs="Arial"/>
          <w:sz w:val="22"/>
          <w:szCs w:val="22"/>
        </w:rPr>
        <w:t>areas,</w:t>
      </w:r>
      <w:r w:rsidRPr="001255E6">
        <w:rPr>
          <w:rFonts w:ascii="Arial" w:hAnsi="Arial" w:cs="Arial"/>
          <w:sz w:val="22"/>
          <w:szCs w:val="22"/>
        </w:rPr>
        <w:t xml:space="preserve"> as well as patients of those centres and it will aim to answer the following questions:</w:t>
      </w:r>
    </w:p>
    <w:p w14:paraId="28606426" w14:textId="4E5577EF" w:rsidR="00470C9D" w:rsidRPr="001255E6" w:rsidRDefault="00470C9D" w:rsidP="00D95653">
      <w:pPr>
        <w:pStyle w:val="Paragraph"/>
        <w:ind w:left="810" w:hanging="810"/>
        <w:outlineLvl w:val="9"/>
        <w:rPr>
          <w:rFonts w:ascii="Arial" w:hAnsi="Arial" w:cs="Arial"/>
          <w:sz w:val="22"/>
          <w:szCs w:val="22"/>
        </w:rPr>
      </w:pPr>
      <w:r w:rsidRPr="001255E6">
        <w:rPr>
          <w:rFonts w:ascii="Arial" w:hAnsi="Arial" w:cs="Arial"/>
          <w:sz w:val="22"/>
          <w:szCs w:val="22"/>
        </w:rPr>
        <w:t>For Hospitals: (admissions, outpatient clinic, and health utilization)</w:t>
      </w:r>
    </w:p>
    <w:p w14:paraId="75BC44A6" w14:textId="6B623125" w:rsidR="00711306" w:rsidRPr="001255E6" w:rsidRDefault="00711306" w:rsidP="004F7DD5">
      <w:pPr>
        <w:pStyle w:val="ListParagraph"/>
        <w:numPr>
          <w:ilvl w:val="0"/>
          <w:numId w:val="2"/>
        </w:numPr>
        <w:rPr>
          <w:rFonts w:cs="Arial"/>
          <w:bCs/>
          <w:szCs w:val="22"/>
        </w:rPr>
      </w:pPr>
      <w:r w:rsidRPr="001255E6">
        <w:rPr>
          <w:rFonts w:cs="Arial"/>
          <w:bCs/>
          <w:szCs w:val="22"/>
        </w:rPr>
        <w:t>Leading cause of admissions, by gender and age</w:t>
      </w:r>
      <w:r w:rsidR="00832AF1">
        <w:rPr>
          <w:rFonts w:cs="Arial"/>
          <w:bCs/>
          <w:szCs w:val="22"/>
        </w:rPr>
        <w:t>.</w:t>
      </w:r>
    </w:p>
    <w:p w14:paraId="52A292C8" w14:textId="38429D32" w:rsidR="00711306" w:rsidRPr="001255E6" w:rsidRDefault="00711306" w:rsidP="004F7DD5">
      <w:pPr>
        <w:pStyle w:val="ListParagraph"/>
        <w:numPr>
          <w:ilvl w:val="0"/>
          <w:numId w:val="2"/>
        </w:numPr>
        <w:rPr>
          <w:rFonts w:cs="Arial"/>
          <w:bCs/>
          <w:szCs w:val="22"/>
        </w:rPr>
      </w:pPr>
      <w:r w:rsidRPr="001255E6">
        <w:rPr>
          <w:rFonts w:cs="Arial"/>
          <w:bCs/>
          <w:szCs w:val="22"/>
        </w:rPr>
        <w:t>Leading cause of discharges by first</w:t>
      </w:r>
      <w:r w:rsidR="00014570">
        <w:rPr>
          <w:rFonts w:cs="Arial"/>
          <w:bCs/>
          <w:szCs w:val="22"/>
        </w:rPr>
        <w:t>-</w:t>
      </w:r>
      <w:r w:rsidRPr="001255E6">
        <w:rPr>
          <w:rFonts w:cs="Arial"/>
          <w:bCs/>
          <w:szCs w:val="22"/>
        </w:rPr>
        <w:t>listed diagnosis, by gender and age</w:t>
      </w:r>
      <w:r w:rsidR="00832AF1">
        <w:rPr>
          <w:rFonts w:cs="Arial"/>
          <w:bCs/>
          <w:szCs w:val="22"/>
        </w:rPr>
        <w:t>.</w:t>
      </w:r>
    </w:p>
    <w:p w14:paraId="41E5F3E0" w14:textId="1A16440A" w:rsidR="00711306" w:rsidRPr="001255E6" w:rsidRDefault="00711306" w:rsidP="004F7DD5">
      <w:pPr>
        <w:pStyle w:val="ListParagraph"/>
        <w:numPr>
          <w:ilvl w:val="0"/>
          <w:numId w:val="2"/>
        </w:numPr>
        <w:rPr>
          <w:rFonts w:cs="Arial"/>
          <w:bCs/>
          <w:szCs w:val="22"/>
        </w:rPr>
      </w:pPr>
      <w:r w:rsidRPr="001255E6">
        <w:rPr>
          <w:rFonts w:eastAsiaTheme="minorHAnsi" w:cs="Arial"/>
          <w:color w:val="000000"/>
          <w:szCs w:val="22"/>
        </w:rPr>
        <w:t xml:space="preserve">Number of </w:t>
      </w:r>
      <w:r w:rsidR="008C1885" w:rsidRPr="001255E6">
        <w:rPr>
          <w:rFonts w:eastAsiaTheme="minorHAnsi" w:cs="Arial"/>
          <w:color w:val="000000"/>
          <w:szCs w:val="22"/>
        </w:rPr>
        <w:t>d</w:t>
      </w:r>
      <w:r w:rsidRPr="001255E6">
        <w:rPr>
          <w:rFonts w:eastAsiaTheme="minorHAnsi" w:cs="Arial"/>
          <w:color w:val="000000"/>
          <w:szCs w:val="22"/>
        </w:rPr>
        <w:t xml:space="preserve">ischarges by </w:t>
      </w:r>
      <w:r w:rsidR="00085BF4" w:rsidRPr="001255E6">
        <w:rPr>
          <w:rFonts w:eastAsiaTheme="minorHAnsi" w:cs="Arial"/>
          <w:color w:val="000000"/>
          <w:szCs w:val="22"/>
        </w:rPr>
        <w:t>diseases of the circulatory system, respiratory system, diabetes, cancer and Covid-19</w:t>
      </w:r>
      <w:r w:rsidRPr="001255E6">
        <w:rPr>
          <w:rFonts w:eastAsiaTheme="minorHAnsi" w:cs="Arial"/>
          <w:color w:val="000000"/>
          <w:szCs w:val="22"/>
        </w:rPr>
        <w:t xml:space="preserve"> </w:t>
      </w:r>
      <w:r w:rsidR="00832AF1">
        <w:rPr>
          <w:rFonts w:eastAsiaTheme="minorHAnsi" w:cs="Arial"/>
          <w:color w:val="000000"/>
          <w:szCs w:val="22"/>
        </w:rPr>
        <w:t xml:space="preserve">and divided </w:t>
      </w:r>
      <w:r w:rsidRPr="001255E6">
        <w:rPr>
          <w:rFonts w:eastAsiaTheme="minorHAnsi" w:cs="Arial"/>
          <w:color w:val="000000"/>
          <w:szCs w:val="22"/>
        </w:rPr>
        <w:t xml:space="preserve">by gender and </w:t>
      </w:r>
      <w:r w:rsidR="00832AF1" w:rsidRPr="001255E6">
        <w:rPr>
          <w:rFonts w:eastAsiaTheme="minorHAnsi" w:cs="Arial"/>
          <w:color w:val="000000"/>
          <w:szCs w:val="22"/>
        </w:rPr>
        <w:t>age.</w:t>
      </w:r>
      <w:r w:rsidRPr="001255E6">
        <w:rPr>
          <w:rFonts w:eastAsiaTheme="minorHAnsi" w:cs="Arial"/>
          <w:color w:val="000000"/>
          <w:szCs w:val="22"/>
        </w:rPr>
        <w:t xml:space="preserve"> </w:t>
      </w:r>
    </w:p>
    <w:p w14:paraId="2DC99D76" w14:textId="6F843BFD" w:rsidR="00711306" w:rsidRPr="001255E6" w:rsidRDefault="00711306" w:rsidP="004F7DD5">
      <w:pPr>
        <w:pStyle w:val="ListParagraph"/>
        <w:numPr>
          <w:ilvl w:val="0"/>
          <w:numId w:val="2"/>
        </w:numPr>
        <w:rPr>
          <w:rFonts w:cs="Arial"/>
          <w:bCs/>
          <w:szCs w:val="22"/>
        </w:rPr>
      </w:pPr>
      <w:r w:rsidRPr="001255E6">
        <w:rPr>
          <w:rFonts w:eastAsiaTheme="minorHAnsi" w:cs="Arial"/>
          <w:color w:val="000000"/>
          <w:szCs w:val="22"/>
        </w:rPr>
        <w:t xml:space="preserve">Days of </w:t>
      </w:r>
      <w:r w:rsidR="00AB07CA" w:rsidRPr="001255E6">
        <w:rPr>
          <w:rFonts w:eastAsiaTheme="minorHAnsi" w:cs="Arial"/>
          <w:color w:val="000000"/>
          <w:szCs w:val="22"/>
        </w:rPr>
        <w:t xml:space="preserve">in-patient care </w:t>
      </w:r>
      <w:r w:rsidR="0056629E" w:rsidRPr="001255E6">
        <w:rPr>
          <w:rFonts w:eastAsiaTheme="minorHAnsi" w:cs="Arial"/>
          <w:color w:val="000000"/>
          <w:szCs w:val="22"/>
        </w:rPr>
        <w:t xml:space="preserve">and average length of stay </w:t>
      </w:r>
      <w:r w:rsidRPr="001255E6">
        <w:rPr>
          <w:rFonts w:eastAsiaTheme="minorHAnsi" w:cs="Arial"/>
          <w:color w:val="000000"/>
          <w:szCs w:val="22"/>
        </w:rPr>
        <w:t xml:space="preserve">by </w:t>
      </w:r>
      <w:r w:rsidR="0056629E" w:rsidRPr="001255E6">
        <w:rPr>
          <w:rFonts w:eastAsiaTheme="minorHAnsi" w:cs="Arial"/>
          <w:color w:val="000000"/>
          <w:szCs w:val="22"/>
        </w:rPr>
        <w:t>disease category and gender</w:t>
      </w:r>
      <w:r w:rsidR="00BE539A">
        <w:rPr>
          <w:rFonts w:eastAsiaTheme="minorHAnsi" w:cs="Arial"/>
          <w:color w:val="000000"/>
          <w:szCs w:val="22"/>
        </w:rPr>
        <w:t>.</w:t>
      </w:r>
      <w:r w:rsidRPr="001255E6">
        <w:rPr>
          <w:rFonts w:eastAsiaTheme="minorHAnsi" w:cs="Arial"/>
          <w:color w:val="000000"/>
          <w:szCs w:val="22"/>
        </w:rPr>
        <w:t xml:space="preserve"> </w:t>
      </w:r>
    </w:p>
    <w:p w14:paraId="699C8157" w14:textId="0C4E4059" w:rsidR="00711306" w:rsidRPr="001255E6" w:rsidRDefault="00711306" w:rsidP="004F7DD5">
      <w:pPr>
        <w:pStyle w:val="ListParagraph"/>
        <w:numPr>
          <w:ilvl w:val="0"/>
          <w:numId w:val="2"/>
        </w:numPr>
        <w:rPr>
          <w:rFonts w:cs="Arial"/>
          <w:bCs/>
          <w:szCs w:val="22"/>
        </w:rPr>
      </w:pPr>
      <w:r w:rsidRPr="001255E6">
        <w:rPr>
          <w:rFonts w:cs="Arial"/>
          <w:bCs/>
          <w:szCs w:val="22"/>
        </w:rPr>
        <w:t>Re-admission rates by disease category</w:t>
      </w:r>
      <w:r w:rsidR="00AB07CA" w:rsidRPr="001255E6">
        <w:rPr>
          <w:rFonts w:cs="Arial"/>
          <w:bCs/>
          <w:szCs w:val="22"/>
        </w:rPr>
        <w:t>,</w:t>
      </w:r>
      <w:r w:rsidRPr="001255E6">
        <w:rPr>
          <w:rFonts w:cs="Arial"/>
          <w:bCs/>
          <w:szCs w:val="22"/>
        </w:rPr>
        <w:t xml:space="preserve"> </w:t>
      </w:r>
      <w:r w:rsidR="00AB07CA" w:rsidRPr="001255E6">
        <w:rPr>
          <w:rFonts w:cs="Arial"/>
          <w:bCs/>
          <w:szCs w:val="22"/>
        </w:rPr>
        <w:t>age</w:t>
      </w:r>
      <w:r w:rsidR="00BD5BAC">
        <w:rPr>
          <w:rFonts w:cs="Arial"/>
          <w:bCs/>
          <w:szCs w:val="22"/>
        </w:rPr>
        <w:t>,</w:t>
      </w:r>
      <w:r w:rsidR="00AB07CA" w:rsidRPr="001255E6">
        <w:rPr>
          <w:rFonts w:cs="Arial"/>
          <w:bCs/>
          <w:szCs w:val="22"/>
        </w:rPr>
        <w:t xml:space="preserve"> and </w:t>
      </w:r>
      <w:r w:rsidRPr="001255E6">
        <w:rPr>
          <w:rFonts w:cs="Arial"/>
          <w:bCs/>
          <w:szCs w:val="22"/>
        </w:rPr>
        <w:t>gender within 30 days of discharge</w:t>
      </w:r>
      <w:r w:rsidR="00832AF1">
        <w:rPr>
          <w:rFonts w:cs="Arial"/>
          <w:bCs/>
          <w:szCs w:val="22"/>
        </w:rPr>
        <w:t>.</w:t>
      </w:r>
    </w:p>
    <w:p w14:paraId="341AE682" w14:textId="6558D0A5" w:rsidR="00711306" w:rsidRPr="001255E6" w:rsidRDefault="00711306" w:rsidP="004F7DD5">
      <w:pPr>
        <w:pStyle w:val="ListParagraph"/>
        <w:numPr>
          <w:ilvl w:val="0"/>
          <w:numId w:val="2"/>
        </w:numPr>
        <w:rPr>
          <w:rFonts w:cs="Arial"/>
          <w:bCs/>
          <w:szCs w:val="22"/>
        </w:rPr>
      </w:pPr>
      <w:r w:rsidRPr="001255E6">
        <w:rPr>
          <w:rFonts w:cs="Arial"/>
          <w:bCs/>
          <w:szCs w:val="22"/>
        </w:rPr>
        <w:t>Visits to the Emergency Department with information about:</w:t>
      </w:r>
    </w:p>
    <w:p w14:paraId="0709E564" w14:textId="2C7902BB" w:rsidR="00711306" w:rsidRPr="001255E6" w:rsidRDefault="00711306" w:rsidP="004F7DD5">
      <w:pPr>
        <w:pStyle w:val="ListParagraph"/>
        <w:numPr>
          <w:ilvl w:val="1"/>
          <w:numId w:val="9"/>
        </w:numPr>
        <w:rPr>
          <w:rFonts w:cs="Arial"/>
          <w:bCs/>
          <w:szCs w:val="22"/>
        </w:rPr>
      </w:pPr>
      <w:r w:rsidRPr="001255E6">
        <w:rPr>
          <w:rFonts w:cs="Arial"/>
          <w:bCs/>
          <w:szCs w:val="22"/>
        </w:rPr>
        <w:t xml:space="preserve">Triage categories assigned to patients according to the Emergency Severity Index (ESI) 5-point system and trends in the patients assigned ESI level 5 which should be decreasing as these are referred/transferred to </w:t>
      </w:r>
      <w:r w:rsidR="004F6DB3" w:rsidRPr="001255E6">
        <w:rPr>
          <w:rFonts w:cs="Arial"/>
          <w:bCs/>
          <w:szCs w:val="22"/>
        </w:rPr>
        <w:t>primary care services</w:t>
      </w:r>
      <w:r w:rsidRPr="001255E6">
        <w:rPr>
          <w:rFonts w:cs="Arial"/>
          <w:bCs/>
          <w:szCs w:val="22"/>
        </w:rPr>
        <w:t>.</w:t>
      </w:r>
    </w:p>
    <w:p w14:paraId="21B1F0D7" w14:textId="77777777" w:rsidR="00711306" w:rsidRPr="001255E6" w:rsidRDefault="00711306" w:rsidP="004F7DD5">
      <w:pPr>
        <w:pStyle w:val="ListParagraph"/>
        <w:numPr>
          <w:ilvl w:val="1"/>
          <w:numId w:val="9"/>
        </w:numPr>
        <w:rPr>
          <w:rFonts w:cs="Arial"/>
          <w:bCs/>
          <w:szCs w:val="22"/>
        </w:rPr>
      </w:pPr>
      <w:r w:rsidRPr="001255E6">
        <w:rPr>
          <w:rFonts w:cs="Arial"/>
          <w:bCs/>
          <w:szCs w:val="22"/>
        </w:rPr>
        <w:t>Trends in and targets for waiting time to complete triage (triage time); that is; time from entry to the department to end of the triage process.</w:t>
      </w:r>
    </w:p>
    <w:p w14:paraId="649F2FFE" w14:textId="77777777" w:rsidR="008D72BA" w:rsidRPr="001255E6" w:rsidRDefault="008D72BA" w:rsidP="00470C9D">
      <w:pPr>
        <w:rPr>
          <w:rFonts w:cs="Arial"/>
          <w:bCs/>
          <w:szCs w:val="22"/>
        </w:rPr>
      </w:pPr>
    </w:p>
    <w:p w14:paraId="405FF843" w14:textId="694058E5" w:rsidR="00470C9D" w:rsidRPr="001255E6" w:rsidRDefault="00470C9D" w:rsidP="00470C9D">
      <w:pPr>
        <w:rPr>
          <w:rFonts w:cs="Arial"/>
          <w:bCs/>
          <w:szCs w:val="22"/>
        </w:rPr>
      </w:pPr>
      <w:r w:rsidRPr="001255E6">
        <w:rPr>
          <w:rFonts w:cs="Arial"/>
          <w:bCs/>
          <w:szCs w:val="22"/>
        </w:rPr>
        <w:t>For Health Centres:</w:t>
      </w:r>
    </w:p>
    <w:p w14:paraId="3CC3ED7E" w14:textId="16370B44" w:rsidR="00470C9D" w:rsidRPr="001255E6" w:rsidRDefault="00470C9D" w:rsidP="004F7DD5">
      <w:pPr>
        <w:pStyle w:val="ListParagraph"/>
        <w:numPr>
          <w:ilvl w:val="0"/>
          <w:numId w:val="1"/>
        </w:numPr>
        <w:autoSpaceDE w:val="0"/>
        <w:autoSpaceDN w:val="0"/>
        <w:adjustRightInd w:val="0"/>
        <w:rPr>
          <w:rFonts w:eastAsiaTheme="minorHAnsi" w:cs="Arial"/>
          <w:color w:val="000000"/>
          <w:szCs w:val="22"/>
        </w:rPr>
      </w:pPr>
      <w:r w:rsidRPr="001255E6">
        <w:rPr>
          <w:rFonts w:eastAsiaTheme="minorHAnsi" w:cs="Arial"/>
          <w:color w:val="000000"/>
          <w:szCs w:val="22"/>
        </w:rPr>
        <w:t xml:space="preserve">Leading causes of </w:t>
      </w:r>
      <w:r w:rsidR="005C2EA7" w:rsidRPr="001255E6">
        <w:rPr>
          <w:rFonts w:eastAsiaTheme="minorHAnsi" w:cs="Arial"/>
          <w:color w:val="000000"/>
          <w:szCs w:val="22"/>
        </w:rPr>
        <w:t>curative vi</w:t>
      </w:r>
      <w:r w:rsidRPr="001255E6">
        <w:rPr>
          <w:rFonts w:eastAsiaTheme="minorHAnsi" w:cs="Arial"/>
          <w:color w:val="000000"/>
          <w:szCs w:val="22"/>
        </w:rPr>
        <w:t xml:space="preserve">sits by health </w:t>
      </w:r>
      <w:r w:rsidR="005C2EA7" w:rsidRPr="001255E6">
        <w:rPr>
          <w:rFonts w:eastAsiaTheme="minorHAnsi" w:cs="Arial"/>
          <w:color w:val="000000"/>
          <w:szCs w:val="22"/>
        </w:rPr>
        <w:t>c</w:t>
      </w:r>
      <w:r w:rsidRPr="001255E6">
        <w:rPr>
          <w:rFonts w:eastAsiaTheme="minorHAnsi" w:cs="Arial"/>
          <w:color w:val="000000"/>
          <w:szCs w:val="22"/>
        </w:rPr>
        <w:t xml:space="preserve">ondition </w:t>
      </w:r>
    </w:p>
    <w:p w14:paraId="437ADBBB" w14:textId="58B7E07B" w:rsidR="00470C9D" w:rsidRPr="001255E6" w:rsidRDefault="00470C9D" w:rsidP="004F7DD5">
      <w:pPr>
        <w:numPr>
          <w:ilvl w:val="0"/>
          <w:numId w:val="1"/>
        </w:numPr>
        <w:rPr>
          <w:rFonts w:cs="Arial"/>
          <w:bCs/>
          <w:szCs w:val="22"/>
        </w:rPr>
      </w:pPr>
      <w:r w:rsidRPr="001255E6">
        <w:rPr>
          <w:rFonts w:eastAsiaTheme="minorHAnsi" w:cs="Arial"/>
          <w:color w:val="000000"/>
          <w:szCs w:val="22"/>
        </w:rPr>
        <w:t xml:space="preserve">Number of </w:t>
      </w:r>
      <w:r w:rsidR="00BB34D3" w:rsidRPr="001255E6">
        <w:rPr>
          <w:rFonts w:eastAsiaTheme="minorHAnsi" w:cs="Arial"/>
          <w:color w:val="000000"/>
          <w:szCs w:val="22"/>
        </w:rPr>
        <w:t>v</w:t>
      </w:r>
      <w:r w:rsidRPr="001255E6">
        <w:rPr>
          <w:rFonts w:eastAsiaTheme="minorHAnsi" w:cs="Arial"/>
          <w:color w:val="000000"/>
          <w:szCs w:val="22"/>
        </w:rPr>
        <w:t xml:space="preserve">isits, </w:t>
      </w:r>
      <w:r w:rsidR="00434301" w:rsidRPr="001255E6">
        <w:rPr>
          <w:rFonts w:eastAsiaTheme="minorHAnsi" w:cs="Arial"/>
          <w:color w:val="000000"/>
          <w:szCs w:val="22"/>
        </w:rPr>
        <w:t xml:space="preserve">total and for selected NCD </w:t>
      </w:r>
      <w:r w:rsidRPr="001255E6">
        <w:rPr>
          <w:rFonts w:eastAsiaTheme="minorHAnsi" w:cs="Arial"/>
          <w:color w:val="000000"/>
          <w:szCs w:val="22"/>
        </w:rPr>
        <w:t>conditions</w:t>
      </w:r>
      <w:r w:rsidR="001721C8" w:rsidRPr="001255E6">
        <w:rPr>
          <w:rFonts w:eastAsiaTheme="minorHAnsi" w:cs="Arial"/>
          <w:color w:val="000000"/>
          <w:szCs w:val="22"/>
        </w:rPr>
        <w:t>, including Covid-19,</w:t>
      </w:r>
      <w:r w:rsidRPr="001255E6">
        <w:rPr>
          <w:rFonts w:eastAsiaTheme="minorHAnsi" w:cs="Arial"/>
          <w:color w:val="000000"/>
          <w:szCs w:val="22"/>
        </w:rPr>
        <w:t xml:space="preserve"> by age and gender </w:t>
      </w:r>
    </w:p>
    <w:p w14:paraId="5B4C706B" w14:textId="77777777" w:rsidR="00470C9D" w:rsidRPr="001255E6" w:rsidRDefault="00470C9D" w:rsidP="004F7DD5">
      <w:pPr>
        <w:numPr>
          <w:ilvl w:val="0"/>
          <w:numId w:val="1"/>
        </w:numPr>
        <w:rPr>
          <w:rFonts w:cs="Arial"/>
          <w:bCs/>
          <w:szCs w:val="22"/>
        </w:rPr>
      </w:pPr>
      <w:r w:rsidRPr="001255E6">
        <w:rPr>
          <w:rFonts w:cs="Arial"/>
          <w:bCs/>
          <w:szCs w:val="22"/>
        </w:rPr>
        <w:t>Wait time</w:t>
      </w:r>
    </w:p>
    <w:p w14:paraId="1E81B0C2" w14:textId="77777777" w:rsidR="00470C9D" w:rsidRPr="001255E6" w:rsidRDefault="00470C9D" w:rsidP="004F7DD5">
      <w:pPr>
        <w:numPr>
          <w:ilvl w:val="0"/>
          <w:numId w:val="1"/>
        </w:numPr>
        <w:rPr>
          <w:rFonts w:cs="Arial"/>
          <w:bCs/>
          <w:szCs w:val="22"/>
        </w:rPr>
      </w:pPr>
      <w:r w:rsidRPr="001255E6">
        <w:rPr>
          <w:rFonts w:cs="Arial"/>
          <w:bCs/>
          <w:szCs w:val="22"/>
        </w:rPr>
        <w:t>Number of patients with reference from hospital’s accident emergency departments</w:t>
      </w:r>
    </w:p>
    <w:p w14:paraId="7066CDED" w14:textId="2459FDEE" w:rsidR="00470C9D" w:rsidRPr="001255E6" w:rsidRDefault="00470C9D" w:rsidP="004F7DD5">
      <w:pPr>
        <w:numPr>
          <w:ilvl w:val="0"/>
          <w:numId w:val="1"/>
        </w:numPr>
        <w:rPr>
          <w:rFonts w:cs="Arial"/>
          <w:bCs/>
          <w:szCs w:val="22"/>
        </w:rPr>
      </w:pPr>
      <w:r w:rsidRPr="001255E6">
        <w:rPr>
          <w:rFonts w:cs="Arial"/>
          <w:bCs/>
          <w:szCs w:val="22"/>
        </w:rPr>
        <w:t xml:space="preserve">Number of patients with scheduled visits </w:t>
      </w:r>
      <w:r w:rsidR="00DC5A55" w:rsidRPr="001255E6">
        <w:rPr>
          <w:rFonts w:cs="Arial"/>
          <w:bCs/>
          <w:szCs w:val="22"/>
        </w:rPr>
        <w:t>and</w:t>
      </w:r>
      <w:r w:rsidRPr="001255E6">
        <w:rPr>
          <w:rFonts w:cs="Arial"/>
          <w:bCs/>
          <w:szCs w:val="22"/>
        </w:rPr>
        <w:t xml:space="preserve"> walk-in visits </w:t>
      </w:r>
    </w:p>
    <w:p w14:paraId="32F6F9EE" w14:textId="2B6F5433" w:rsidR="00470C9D" w:rsidRPr="001255E6" w:rsidRDefault="008D72BA" w:rsidP="004F7DD5">
      <w:pPr>
        <w:numPr>
          <w:ilvl w:val="0"/>
          <w:numId w:val="1"/>
        </w:numPr>
        <w:rPr>
          <w:rFonts w:cs="Arial"/>
          <w:bCs/>
          <w:szCs w:val="22"/>
        </w:rPr>
      </w:pPr>
      <w:r w:rsidRPr="001255E6">
        <w:rPr>
          <w:rFonts w:cs="Arial"/>
          <w:bCs/>
          <w:szCs w:val="22"/>
        </w:rPr>
        <w:t>Percentage of</w:t>
      </w:r>
      <w:r w:rsidR="00470C9D" w:rsidRPr="001255E6">
        <w:rPr>
          <w:rFonts w:cs="Arial"/>
          <w:bCs/>
          <w:szCs w:val="22"/>
        </w:rPr>
        <w:t xml:space="preserve"> patients with diabetes</w:t>
      </w:r>
      <w:r w:rsidR="004F6DB3" w:rsidRPr="001255E6">
        <w:rPr>
          <w:rFonts w:cs="Arial"/>
          <w:bCs/>
          <w:szCs w:val="22"/>
        </w:rPr>
        <w:t xml:space="preserve"> and hypertension</w:t>
      </w:r>
      <w:r w:rsidR="00371361" w:rsidRPr="001255E6">
        <w:rPr>
          <w:rFonts w:cs="Arial"/>
          <w:bCs/>
          <w:szCs w:val="22"/>
        </w:rPr>
        <w:t>,</w:t>
      </w:r>
      <w:r w:rsidR="00470C9D" w:rsidRPr="001255E6">
        <w:rPr>
          <w:rFonts w:cs="Arial"/>
          <w:bCs/>
          <w:szCs w:val="22"/>
        </w:rPr>
        <w:t xml:space="preserve"> </w:t>
      </w:r>
      <w:r w:rsidR="00F6223C" w:rsidRPr="001255E6">
        <w:rPr>
          <w:rFonts w:cs="Arial"/>
          <w:bCs/>
          <w:szCs w:val="22"/>
        </w:rPr>
        <w:t xml:space="preserve">with/without Covid-19 </w:t>
      </w:r>
      <w:r w:rsidR="00470C9D" w:rsidRPr="001255E6">
        <w:rPr>
          <w:rFonts w:cs="Arial"/>
          <w:bCs/>
          <w:szCs w:val="22"/>
        </w:rPr>
        <w:t>adequately managed at the health centre</w:t>
      </w:r>
    </w:p>
    <w:p w14:paraId="47DEEA9D" w14:textId="77777777" w:rsidR="00470C9D" w:rsidRPr="001255E6" w:rsidRDefault="00470C9D" w:rsidP="004F7DD5">
      <w:pPr>
        <w:numPr>
          <w:ilvl w:val="0"/>
          <w:numId w:val="1"/>
        </w:numPr>
        <w:rPr>
          <w:rFonts w:cs="Arial"/>
          <w:bCs/>
          <w:szCs w:val="22"/>
        </w:rPr>
      </w:pPr>
      <w:r w:rsidRPr="001255E6">
        <w:rPr>
          <w:rFonts w:cs="Arial"/>
          <w:bCs/>
          <w:szCs w:val="22"/>
        </w:rPr>
        <w:t>Number of Pap smears done by health centre</w:t>
      </w:r>
    </w:p>
    <w:p w14:paraId="4DDB69FE" w14:textId="77777777" w:rsidR="00470C9D" w:rsidRPr="001255E6" w:rsidRDefault="00470C9D" w:rsidP="004F7DD5">
      <w:pPr>
        <w:numPr>
          <w:ilvl w:val="0"/>
          <w:numId w:val="1"/>
        </w:numPr>
        <w:rPr>
          <w:rFonts w:cs="Arial"/>
          <w:bCs/>
          <w:szCs w:val="22"/>
        </w:rPr>
      </w:pPr>
      <w:r w:rsidRPr="001255E6">
        <w:rPr>
          <w:rFonts w:cs="Arial"/>
          <w:bCs/>
          <w:szCs w:val="22"/>
        </w:rPr>
        <w:t>Number of Pap smear results by health centre</w:t>
      </w:r>
    </w:p>
    <w:p w14:paraId="6D2F71E1" w14:textId="5BAAEACF" w:rsidR="00B541E4" w:rsidRPr="001255E6" w:rsidRDefault="00EB4A10" w:rsidP="004F7DD5">
      <w:pPr>
        <w:pStyle w:val="Paragraph"/>
        <w:numPr>
          <w:ilvl w:val="0"/>
          <w:numId w:val="1"/>
        </w:numPr>
        <w:outlineLvl w:val="9"/>
        <w:rPr>
          <w:rFonts w:ascii="Arial" w:hAnsi="Arial" w:cs="Arial"/>
          <w:sz w:val="22"/>
          <w:szCs w:val="22"/>
        </w:rPr>
      </w:pPr>
      <w:r w:rsidRPr="001255E6">
        <w:rPr>
          <w:rFonts w:ascii="Arial" w:hAnsi="Arial" w:cs="Arial"/>
          <w:sz w:val="22"/>
          <w:szCs w:val="22"/>
        </w:rPr>
        <w:lastRenderedPageBreak/>
        <w:t xml:space="preserve">Number of </w:t>
      </w:r>
      <w:r w:rsidR="001F2511">
        <w:rPr>
          <w:rFonts w:ascii="Arial" w:hAnsi="Arial" w:cs="Arial"/>
          <w:sz w:val="22"/>
          <w:szCs w:val="22"/>
        </w:rPr>
        <w:t xml:space="preserve">antenatal visits, </w:t>
      </w:r>
      <w:r w:rsidR="00931163" w:rsidRPr="001255E6">
        <w:rPr>
          <w:rFonts w:ascii="Arial" w:hAnsi="Arial" w:cs="Arial"/>
          <w:sz w:val="22"/>
          <w:szCs w:val="22"/>
        </w:rPr>
        <w:t>birth and postnatal care, infants, and children´s health</w:t>
      </w:r>
      <w:r w:rsidR="006C7557" w:rsidRPr="001255E6">
        <w:rPr>
          <w:rFonts w:ascii="Arial" w:hAnsi="Arial" w:cs="Arial"/>
          <w:sz w:val="22"/>
          <w:szCs w:val="22"/>
        </w:rPr>
        <w:t xml:space="preserve"> visits</w:t>
      </w:r>
      <w:r w:rsidR="00931163" w:rsidRPr="001255E6">
        <w:rPr>
          <w:rFonts w:ascii="Arial" w:hAnsi="Arial" w:cs="Arial"/>
          <w:sz w:val="22"/>
          <w:szCs w:val="22"/>
        </w:rPr>
        <w:t xml:space="preserve">, </w:t>
      </w:r>
    </w:p>
    <w:p w14:paraId="21FD6651" w14:textId="46ECB106" w:rsidR="008D72BA" w:rsidRPr="001255E6" w:rsidRDefault="00EB4A10" w:rsidP="004F7DD5">
      <w:pPr>
        <w:pStyle w:val="Paragraph"/>
        <w:numPr>
          <w:ilvl w:val="0"/>
          <w:numId w:val="1"/>
        </w:numPr>
        <w:outlineLvl w:val="9"/>
        <w:rPr>
          <w:rFonts w:ascii="Arial" w:hAnsi="Arial" w:cs="Arial"/>
          <w:sz w:val="22"/>
          <w:szCs w:val="22"/>
        </w:rPr>
      </w:pPr>
      <w:r w:rsidRPr="001255E6">
        <w:rPr>
          <w:rFonts w:ascii="Arial" w:hAnsi="Arial" w:cs="Arial"/>
          <w:sz w:val="22"/>
          <w:szCs w:val="22"/>
        </w:rPr>
        <w:t>Number of women with contraceptive methods</w:t>
      </w:r>
      <w:r w:rsidR="00931163" w:rsidRPr="001255E6">
        <w:rPr>
          <w:rFonts w:ascii="Arial" w:hAnsi="Arial" w:cs="Arial"/>
          <w:sz w:val="22"/>
          <w:szCs w:val="22"/>
        </w:rPr>
        <w:t xml:space="preserve"> </w:t>
      </w:r>
    </w:p>
    <w:p w14:paraId="2D2D80AC" w14:textId="77777777" w:rsidR="00E57C05" w:rsidRDefault="00E57C05" w:rsidP="009E4938">
      <w:pPr>
        <w:pStyle w:val="Paragraph"/>
        <w:ind w:left="0"/>
        <w:outlineLvl w:val="9"/>
        <w:rPr>
          <w:rFonts w:ascii="Arial" w:hAnsi="Arial" w:cs="Arial"/>
          <w:sz w:val="22"/>
          <w:szCs w:val="22"/>
        </w:rPr>
      </w:pPr>
    </w:p>
    <w:p w14:paraId="757E10C2" w14:textId="5B497C2C" w:rsidR="00470C9D" w:rsidRPr="001255E6" w:rsidRDefault="00470C9D" w:rsidP="009E4938">
      <w:pPr>
        <w:pStyle w:val="Paragraph"/>
        <w:ind w:left="0"/>
        <w:outlineLvl w:val="9"/>
        <w:rPr>
          <w:rFonts w:ascii="Arial" w:hAnsi="Arial" w:cs="Arial"/>
          <w:sz w:val="22"/>
          <w:szCs w:val="22"/>
        </w:rPr>
      </w:pPr>
      <w:r w:rsidRPr="001255E6">
        <w:rPr>
          <w:rFonts w:ascii="Arial" w:hAnsi="Arial" w:cs="Arial"/>
          <w:sz w:val="22"/>
          <w:szCs w:val="22"/>
        </w:rPr>
        <w:t>For patients at Health Centres</w:t>
      </w:r>
    </w:p>
    <w:p w14:paraId="0055DA5E" w14:textId="433FABD1" w:rsidR="00470C9D" w:rsidRPr="001255E6" w:rsidRDefault="00470C9D" w:rsidP="009E4938">
      <w:pPr>
        <w:pStyle w:val="Paragraph"/>
        <w:ind w:left="0"/>
        <w:outlineLvl w:val="9"/>
        <w:rPr>
          <w:rFonts w:ascii="Arial" w:hAnsi="Arial" w:cs="Arial"/>
          <w:sz w:val="22"/>
          <w:szCs w:val="22"/>
        </w:rPr>
      </w:pPr>
      <w:r w:rsidRPr="001255E6">
        <w:rPr>
          <w:rFonts w:ascii="Arial" w:hAnsi="Arial" w:cs="Arial"/>
          <w:sz w:val="22"/>
          <w:szCs w:val="22"/>
        </w:rPr>
        <w:t>This instrument will allow to define indicators at the individual level related to:</w:t>
      </w:r>
    </w:p>
    <w:p w14:paraId="7CAF5002" w14:textId="670DF448" w:rsidR="002008F5" w:rsidRPr="001255E6" w:rsidRDefault="002008F5" w:rsidP="004F7DD5">
      <w:pPr>
        <w:pStyle w:val="Paragraph"/>
        <w:numPr>
          <w:ilvl w:val="0"/>
          <w:numId w:val="10"/>
        </w:numPr>
        <w:outlineLvl w:val="9"/>
        <w:rPr>
          <w:rFonts w:ascii="Arial" w:hAnsi="Arial" w:cs="Arial"/>
          <w:sz w:val="22"/>
          <w:szCs w:val="22"/>
        </w:rPr>
      </w:pPr>
      <w:r w:rsidRPr="001255E6">
        <w:rPr>
          <w:rFonts w:ascii="Arial" w:hAnsi="Arial" w:cs="Arial"/>
          <w:sz w:val="22"/>
          <w:szCs w:val="22"/>
        </w:rPr>
        <w:t>Access</w:t>
      </w:r>
    </w:p>
    <w:p w14:paraId="4D8A1396" w14:textId="77777777" w:rsidR="00F12CC3" w:rsidRPr="001255E6" w:rsidRDefault="00F12CC3" w:rsidP="004F7DD5">
      <w:pPr>
        <w:pStyle w:val="ListParagraph"/>
        <w:numPr>
          <w:ilvl w:val="1"/>
          <w:numId w:val="10"/>
        </w:numPr>
        <w:autoSpaceDE w:val="0"/>
        <w:autoSpaceDN w:val="0"/>
        <w:adjustRightInd w:val="0"/>
        <w:rPr>
          <w:rFonts w:eastAsiaTheme="minorHAnsi" w:cs="Arial"/>
          <w:color w:val="000000"/>
          <w:szCs w:val="22"/>
        </w:rPr>
      </w:pPr>
      <w:r w:rsidRPr="001255E6">
        <w:rPr>
          <w:rFonts w:eastAsiaTheme="minorHAnsi" w:cs="Arial"/>
          <w:color w:val="000000"/>
          <w:szCs w:val="22"/>
        </w:rPr>
        <w:t>Ease of access to PHC (i.e. availability of appointments)</w:t>
      </w:r>
    </w:p>
    <w:p w14:paraId="5E108E61" w14:textId="77777777" w:rsidR="00F12CC3" w:rsidRPr="001255E6" w:rsidRDefault="00F12CC3" w:rsidP="004F7DD5">
      <w:pPr>
        <w:pStyle w:val="ListParagraph"/>
        <w:numPr>
          <w:ilvl w:val="1"/>
          <w:numId w:val="10"/>
        </w:numPr>
        <w:autoSpaceDE w:val="0"/>
        <w:autoSpaceDN w:val="0"/>
        <w:adjustRightInd w:val="0"/>
        <w:rPr>
          <w:rFonts w:eastAsiaTheme="minorHAnsi" w:cs="Arial"/>
          <w:color w:val="000000"/>
          <w:szCs w:val="22"/>
        </w:rPr>
      </w:pPr>
      <w:r w:rsidRPr="001255E6">
        <w:rPr>
          <w:rFonts w:eastAsiaTheme="minorHAnsi" w:cs="Arial"/>
          <w:color w:val="000000"/>
          <w:szCs w:val="22"/>
        </w:rPr>
        <w:t>Use of health centres vs. hospitals for emergency visits</w:t>
      </w:r>
    </w:p>
    <w:p w14:paraId="79BBD7C2" w14:textId="77777777" w:rsidR="00F12CC3" w:rsidRPr="001255E6" w:rsidRDefault="00F12CC3" w:rsidP="004F7DD5">
      <w:pPr>
        <w:pStyle w:val="ListParagraph"/>
        <w:numPr>
          <w:ilvl w:val="1"/>
          <w:numId w:val="10"/>
        </w:numPr>
        <w:autoSpaceDE w:val="0"/>
        <w:autoSpaceDN w:val="0"/>
        <w:adjustRightInd w:val="0"/>
        <w:rPr>
          <w:rFonts w:eastAsiaTheme="minorHAnsi" w:cs="Arial"/>
          <w:color w:val="000000"/>
          <w:szCs w:val="22"/>
        </w:rPr>
      </w:pPr>
      <w:r w:rsidRPr="001255E6">
        <w:rPr>
          <w:rFonts w:eastAsiaTheme="minorHAnsi" w:cs="Arial"/>
          <w:color w:val="000000"/>
          <w:szCs w:val="22"/>
        </w:rPr>
        <w:t>Care disruptions due to Covid-19 pandemic</w:t>
      </w:r>
    </w:p>
    <w:p w14:paraId="782576B8" w14:textId="2998B7ED" w:rsidR="00F12CC3" w:rsidRPr="001255E6" w:rsidRDefault="00F12CC3" w:rsidP="004F7DD5">
      <w:pPr>
        <w:pStyle w:val="ListParagraph"/>
        <w:numPr>
          <w:ilvl w:val="1"/>
          <w:numId w:val="10"/>
        </w:numPr>
        <w:autoSpaceDE w:val="0"/>
        <w:autoSpaceDN w:val="0"/>
        <w:adjustRightInd w:val="0"/>
        <w:rPr>
          <w:rFonts w:eastAsiaTheme="minorHAnsi" w:cs="Arial"/>
          <w:color w:val="000000"/>
          <w:szCs w:val="22"/>
        </w:rPr>
      </w:pPr>
      <w:r w:rsidRPr="001255E6">
        <w:rPr>
          <w:rFonts w:eastAsiaTheme="minorHAnsi" w:cs="Arial"/>
          <w:color w:val="000000"/>
          <w:szCs w:val="22"/>
        </w:rPr>
        <w:t>Need to seek care at private providers</w:t>
      </w:r>
    </w:p>
    <w:p w14:paraId="62D4C108" w14:textId="64315B62" w:rsidR="002008F5" w:rsidRPr="001255E6" w:rsidRDefault="002008F5" w:rsidP="004F7DD5">
      <w:pPr>
        <w:pStyle w:val="ListParagraph"/>
        <w:numPr>
          <w:ilvl w:val="1"/>
          <w:numId w:val="10"/>
        </w:numPr>
        <w:autoSpaceDE w:val="0"/>
        <w:autoSpaceDN w:val="0"/>
        <w:adjustRightInd w:val="0"/>
        <w:rPr>
          <w:rFonts w:eastAsiaTheme="minorHAnsi" w:cs="Arial"/>
          <w:color w:val="000000"/>
          <w:szCs w:val="22"/>
        </w:rPr>
      </w:pPr>
      <w:r w:rsidRPr="001255E6">
        <w:rPr>
          <w:rFonts w:eastAsiaTheme="minorHAnsi" w:cs="Arial"/>
          <w:color w:val="000000"/>
          <w:szCs w:val="22"/>
        </w:rPr>
        <w:t>Interaction with health providers due to missing appointments</w:t>
      </w:r>
    </w:p>
    <w:p w14:paraId="7920B68E" w14:textId="42E2781F" w:rsidR="002008F5" w:rsidRPr="001255E6" w:rsidRDefault="002008F5" w:rsidP="004F7DD5">
      <w:pPr>
        <w:pStyle w:val="ListParagraph"/>
        <w:numPr>
          <w:ilvl w:val="0"/>
          <w:numId w:val="10"/>
        </w:numPr>
        <w:autoSpaceDE w:val="0"/>
        <w:autoSpaceDN w:val="0"/>
        <w:adjustRightInd w:val="0"/>
        <w:rPr>
          <w:rFonts w:eastAsiaTheme="minorHAnsi" w:cs="Arial"/>
          <w:color w:val="000000"/>
          <w:szCs w:val="22"/>
        </w:rPr>
      </w:pPr>
      <w:r w:rsidRPr="001255E6">
        <w:rPr>
          <w:rFonts w:eastAsiaTheme="minorHAnsi" w:cs="Arial"/>
          <w:color w:val="000000"/>
          <w:szCs w:val="22"/>
        </w:rPr>
        <w:t>Use of services</w:t>
      </w:r>
    </w:p>
    <w:p w14:paraId="78A6ED3C" w14:textId="6E04C04F" w:rsidR="00470C9D" w:rsidRPr="001255E6" w:rsidRDefault="00470C9D" w:rsidP="004F7DD5">
      <w:pPr>
        <w:pStyle w:val="ListParagraph"/>
        <w:numPr>
          <w:ilvl w:val="1"/>
          <w:numId w:val="10"/>
        </w:numPr>
        <w:autoSpaceDE w:val="0"/>
        <w:autoSpaceDN w:val="0"/>
        <w:adjustRightInd w:val="0"/>
        <w:ind w:left="1620"/>
        <w:rPr>
          <w:rFonts w:eastAsiaTheme="minorHAnsi" w:cs="Arial"/>
          <w:color w:val="000000"/>
          <w:szCs w:val="22"/>
        </w:rPr>
      </w:pPr>
      <w:r w:rsidRPr="001255E6">
        <w:rPr>
          <w:rFonts w:eastAsiaTheme="minorHAnsi" w:cs="Arial"/>
          <w:color w:val="000000"/>
          <w:szCs w:val="22"/>
        </w:rPr>
        <w:t>Wait time</w:t>
      </w:r>
    </w:p>
    <w:p w14:paraId="47528332" w14:textId="04276DAB" w:rsidR="002008F5" w:rsidRPr="001255E6" w:rsidRDefault="002008F5" w:rsidP="004F7DD5">
      <w:pPr>
        <w:pStyle w:val="ListParagraph"/>
        <w:numPr>
          <w:ilvl w:val="1"/>
          <w:numId w:val="10"/>
        </w:numPr>
        <w:autoSpaceDE w:val="0"/>
        <w:autoSpaceDN w:val="0"/>
        <w:adjustRightInd w:val="0"/>
        <w:ind w:left="1620"/>
        <w:rPr>
          <w:rFonts w:eastAsiaTheme="minorHAnsi" w:cs="Arial"/>
          <w:color w:val="000000"/>
          <w:szCs w:val="22"/>
        </w:rPr>
      </w:pPr>
      <w:r w:rsidRPr="001255E6">
        <w:rPr>
          <w:rFonts w:eastAsiaTheme="minorHAnsi" w:cs="Arial"/>
          <w:color w:val="000000"/>
          <w:szCs w:val="22"/>
        </w:rPr>
        <w:t>Duration of consultation (time)</w:t>
      </w:r>
    </w:p>
    <w:p w14:paraId="77A6DF2E" w14:textId="47DD7686" w:rsidR="002008F5" w:rsidRPr="001255E6" w:rsidRDefault="002008F5" w:rsidP="004F7DD5">
      <w:pPr>
        <w:pStyle w:val="ListParagraph"/>
        <w:numPr>
          <w:ilvl w:val="1"/>
          <w:numId w:val="10"/>
        </w:numPr>
        <w:autoSpaceDE w:val="0"/>
        <w:autoSpaceDN w:val="0"/>
        <w:adjustRightInd w:val="0"/>
        <w:ind w:left="1620"/>
        <w:rPr>
          <w:rFonts w:eastAsiaTheme="minorHAnsi" w:cs="Arial"/>
          <w:color w:val="000000"/>
          <w:szCs w:val="22"/>
        </w:rPr>
      </w:pPr>
      <w:r w:rsidRPr="001255E6">
        <w:rPr>
          <w:rFonts w:eastAsiaTheme="minorHAnsi" w:cs="Arial"/>
          <w:color w:val="000000"/>
          <w:szCs w:val="22"/>
        </w:rPr>
        <w:t>Perception of attentiveness and resolution from health providers</w:t>
      </w:r>
    </w:p>
    <w:p w14:paraId="5100F2C0" w14:textId="76744797" w:rsidR="002008F5" w:rsidRPr="001255E6" w:rsidRDefault="002008F5" w:rsidP="004F7DD5">
      <w:pPr>
        <w:pStyle w:val="ListParagraph"/>
        <w:numPr>
          <w:ilvl w:val="1"/>
          <w:numId w:val="10"/>
        </w:numPr>
        <w:autoSpaceDE w:val="0"/>
        <w:autoSpaceDN w:val="0"/>
        <w:adjustRightInd w:val="0"/>
        <w:ind w:left="1620"/>
        <w:rPr>
          <w:rFonts w:eastAsiaTheme="minorHAnsi" w:cs="Arial"/>
          <w:color w:val="000000"/>
          <w:szCs w:val="22"/>
        </w:rPr>
      </w:pPr>
      <w:r w:rsidRPr="001255E6">
        <w:rPr>
          <w:rFonts w:eastAsiaTheme="minorHAnsi" w:cs="Arial"/>
          <w:color w:val="000000"/>
          <w:szCs w:val="22"/>
        </w:rPr>
        <w:t>Availability of diagnostic tests – laboratory and</w:t>
      </w:r>
      <w:r w:rsidR="00A6574C" w:rsidRPr="001255E6">
        <w:rPr>
          <w:rFonts w:eastAsiaTheme="minorHAnsi" w:cs="Arial"/>
          <w:color w:val="000000"/>
          <w:szCs w:val="22"/>
        </w:rPr>
        <w:t xml:space="preserve"> medical imaging</w:t>
      </w:r>
    </w:p>
    <w:p w14:paraId="3E319CFF" w14:textId="28AF50F4" w:rsidR="008304F0" w:rsidRPr="001255E6" w:rsidRDefault="002008F5" w:rsidP="004F7DD5">
      <w:pPr>
        <w:pStyle w:val="ListParagraph"/>
        <w:numPr>
          <w:ilvl w:val="1"/>
          <w:numId w:val="10"/>
        </w:numPr>
        <w:autoSpaceDE w:val="0"/>
        <w:autoSpaceDN w:val="0"/>
        <w:adjustRightInd w:val="0"/>
        <w:ind w:left="1620"/>
        <w:rPr>
          <w:rFonts w:eastAsiaTheme="minorHAnsi" w:cs="Arial"/>
          <w:color w:val="000000"/>
          <w:szCs w:val="22"/>
        </w:rPr>
      </w:pPr>
      <w:r w:rsidRPr="001255E6">
        <w:rPr>
          <w:rFonts w:eastAsiaTheme="minorHAnsi" w:cs="Arial"/>
          <w:color w:val="000000"/>
          <w:szCs w:val="22"/>
        </w:rPr>
        <w:t>Availability of medications</w:t>
      </w:r>
    </w:p>
    <w:p w14:paraId="68C16E1D" w14:textId="79FCA581" w:rsidR="006347CF" w:rsidRPr="001255E6" w:rsidRDefault="006347CF" w:rsidP="004F7DD5">
      <w:pPr>
        <w:pStyle w:val="ListParagraph"/>
        <w:numPr>
          <w:ilvl w:val="1"/>
          <w:numId w:val="10"/>
        </w:numPr>
        <w:autoSpaceDE w:val="0"/>
        <w:autoSpaceDN w:val="0"/>
        <w:adjustRightInd w:val="0"/>
        <w:ind w:left="1620"/>
        <w:rPr>
          <w:rFonts w:eastAsiaTheme="minorHAnsi" w:cs="Arial"/>
          <w:color w:val="000000"/>
          <w:szCs w:val="22"/>
        </w:rPr>
      </w:pPr>
      <w:r w:rsidRPr="001255E6">
        <w:rPr>
          <w:rFonts w:eastAsiaTheme="minorHAnsi" w:cs="Arial"/>
          <w:color w:val="000000"/>
          <w:szCs w:val="22"/>
        </w:rPr>
        <w:t>Coordination of care between health centres and specialized care</w:t>
      </w:r>
    </w:p>
    <w:p w14:paraId="58CF9DA5" w14:textId="032D488A" w:rsidR="00931163" w:rsidRPr="001255E6" w:rsidRDefault="00470C9D" w:rsidP="004F7DD5">
      <w:pPr>
        <w:pStyle w:val="ListParagraph"/>
        <w:numPr>
          <w:ilvl w:val="1"/>
          <w:numId w:val="10"/>
        </w:numPr>
        <w:autoSpaceDE w:val="0"/>
        <w:autoSpaceDN w:val="0"/>
        <w:adjustRightInd w:val="0"/>
        <w:rPr>
          <w:rFonts w:eastAsiaTheme="minorHAnsi" w:cs="Arial"/>
          <w:color w:val="000000"/>
          <w:szCs w:val="22"/>
        </w:rPr>
      </w:pPr>
      <w:r w:rsidRPr="001255E6">
        <w:rPr>
          <w:rFonts w:eastAsiaTheme="minorHAnsi" w:cs="Arial"/>
          <w:color w:val="000000"/>
          <w:szCs w:val="22"/>
        </w:rPr>
        <w:t>Awareness and control of chronic conditions</w:t>
      </w:r>
      <w:r w:rsidR="00141F24" w:rsidRPr="001255E6">
        <w:rPr>
          <w:rFonts w:eastAsiaTheme="minorHAnsi" w:cs="Arial"/>
          <w:color w:val="000000"/>
          <w:szCs w:val="22"/>
        </w:rPr>
        <w:t xml:space="preserve"> </w:t>
      </w:r>
    </w:p>
    <w:p w14:paraId="3C63CA9E" w14:textId="77777777" w:rsidR="00470C9D" w:rsidRPr="001255E6" w:rsidRDefault="00470C9D" w:rsidP="00D95653">
      <w:pPr>
        <w:pStyle w:val="Paragraph"/>
        <w:spacing w:before="0" w:after="0"/>
        <w:outlineLvl w:val="9"/>
        <w:rPr>
          <w:rFonts w:ascii="Arial" w:hAnsi="Arial" w:cs="Arial"/>
          <w:sz w:val="22"/>
          <w:szCs w:val="22"/>
        </w:rPr>
      </w:pPr>
    </w:p>
    <w:p w14:paraId="32CE3089" w14:textId="21E71C98" w:rsidR="00FA25DC" w:rsidRPr="001255E6" w:rsidRDefault="00A21D52" w:rsidP="00BC256B">
      <w:pPr>
        <w:pStyle w:val="Heading2"/>
        <w:rPr>
          <w:rFonts w:eastAsiaTheme="minorHAnsi"/>
        </w:rPr>
      </w:pPr>
      <w:bookmarkStart w:id="26" w:name="_Toc47607326"/>
      <w:bookmarkStart w:id="27" w:name="_Toc519094816"/>
      <w:bookmarkEnd w:id="25"/>
      <w:r w:rsidRPr="001255E6">
        <w:rPr>
          <w:rFonts w:eastAsiaTheme="minorHAnsi"/>
        </w:rPr>
        <w:t xml:space="preserve">4. </w:t>
      </w:r>
      <w:r w:rsidR="00BA3047" w:rsidRPr="001255E6">
        <w:rPr>
          <w:rFonts w:eastAsiaTheme="minorHAnsi"/>
        </w:rPr>
        <w:t>Key Activities</w:t>
      </w:r>
      <w:bookmarkEnd w:id="26"/>
    </w:p>
    <w:p w14:paraId="51ED8C78" w14:textId="6080A454" w:rsidR="00D95653" w:rsidRPr="001255E6" w:rsidRDefault="00D95653" w:rsidP="004F7DD5">
      <w:pPr>
        <w:pStyle w:val="ListParagraph"/>
        <w:widowControl w:val="0"/>
        <w:numPr>
          <w:ilvl w:val="0"/>
          <w:numId w:val="5"/>
        </w:numPr>
        <w:spacing w:after="200" w:line="276" w:lineRule="auto"/>
        <w:contextualSpacing/>
        <w:rPr>
          <w:rFonts w:eastAsiaTheme="minorHAnsi"/>
        </w:rPr>
      </w:pPr>
      <w:r w:rsidRPr="001255E6">
        <w:rPr>
          <w:rFonts w:eastAsiaTheme="minorHAnsi"/>
        </w:rPr>
        <w:t xml:space="preserve">Develop an Impact Assessment Concept Note, a budget and schedule detailing the agreement on the identification, collection and analysis of plan data, personnel, </w:t>
      </w:r>
      <w:r w:rsidR="00424B33" w:rsidRPr="001255E6">
        <w:rPr>
          <w:rFonts w:eastAsiaTheme="minorHAnsi"/>
        </w:rPr>
        <w:t>budget,</w:t>
      </w:r>
      <w:r w:rsidRPr="001255E6">
        <w:rPr>
          <w:rFonts w:eastAsiaTheme="minorHAnsi"/>
        </w:rPr>
        <w:t xml:space="preserve"> and deadlines. The evaluation of impact will be integrated into the general project monitoring and evaluation plan.</w:t>
      </w:r>
    </w:p>
    <w:p w14:paraId="2132A8BE" w14:textId="77777777" w:rsidR="00D95653" w:rsidRPr="001255E6" w:rsidRDefault="00D95653" w:rsidP="004F7DD5">
      <w:pPr>
        <w:pStyle w:val="ListParagraph"/>
        <w:widowControl w:val="0"/>
        <w:numPr>
          <w:ilvl w:val="0"/>
          <w:numId w:val="5"/>
        </w:numPr>
        <w:spacing w:after="200" w:line="276" w:lineRule="auto"/>
        <w:contextualSpacing/>
        <w:rPr>
          <w:rFonts w:eastAsiaTheme="minorHAnsi"/>
        </w:rPr>
      </w:pPr>
      <w:r w:rsidRPr="001255E6">
        <w:rPr>
          <w:rFonts w:eastAsiaTheme="minorHAnsi"/>
        </w:rPr>
        <w:t>Propose a preliminary experimental or quasi-experimental design for the evaluation of impact. The design should isolate the causal impact of the intervention on key performance indicator tool.</w:t>
      </w:r>
    </w:p>
    <w:p w14:paraId="2F805000" w14:textId="77777777" w:rsidR="00D95653" w:rsidRPr="001255E6" w:rsidRDefault="00D95653" w:rsidP="004F7DD5">
      <w:pPr>
        <w:pStyle w:val="ListParagraph"/>
        <w:widowControl w:val="0"/>
        <w:numPr>
          <w:ilvl w:val="0"/>
          <w:numId w:val="5"/>
        </w:numPr>
        <w:spacing w:after="200" w:line="276" w:lineRule="auto"/>
        <w:contextualSpacing/>
        <w:rPr>
          <w:rFonts w:eastAsiaTheme="minorHAnsi"/>
        </w:rPr>
      </w:pPr>
      <w:r w:rsidRPr="001255E6">
        <w:rPr>
          <w:rFonts w:eastAsiaTheme="minorHAnsi"/>
        </w:rPr>
        <w:t>Consult with project team members on the evaluation design and project execution, making the necessary adjustments.</w:t>
      </w:r>
    </w:p>
    <w:p w14:paraId="6889D4B5" w14:textId="77777777" w:rsidR="00D95653" w:rsidRPr="001255E6" w:rsidRDefault="00D95653" w:rsidP="004F7DD5">
      <w:pPr>
        <w:pStyle w:val="ListParagraph"/>
        <w:widowControl w:val="0"/>
        <w:numPr>
          <w:ilvl w:val="0"/>
          <w:numId w:val="5"/>
        </w:numPr>
        <w:spacing w:after="200" w:line="276" w:lineRule="auto"/>
        <w:contextualSpacing/>
        <w:rPr>
          <w:rFonts w:eastAsiaTheme="minorHAnsi"/>
        </w:rPr>
      </w:pPr>
      <w:r w:rsidRPr="001255E6">
        <w:rPr>
          <w:rFonts w:eastAsiaTheme="minorHAnsi"/>
        </w:rPr>
        <w:t xml:space="preserve">Seek feedback from stakeholders on the preliminary experimental design. </w:t>
      </w:r>
    </w:p>
    <w:p w14:paraId="0AB21340" w14:textId="77777777" w:rsidR="00D95653" w:rsidRPr="001255E6" w:rsidRDefault="00D95653" w:rsidP="004F7DD5">
      <w:pPr>
        <w:pStyle w:val="ListParagraph"/>
        <w:widowControl w:val="0"/>
        <w:numPr>
          <w:ilvl w:val="0"/>
          <w:numId w:val="5"/>
        </w:numPr>
        <w:spacing w:after="200" w:line="276" w:lineRule="auto"/>
        <w:contextualSpacing/>
        <w:rPr>
          <w:rFonts w:eastAsiaTheme="minorHAnsi"/>
        </w:rPr>
      </w:pPr>
      <w:r w:rsidRPr="001255E6">
        <w:rPr>
          <w:rFonts w:eastAsiaTheme="minorHAnsi"/>
        </w:rPr>
        <w:t>Develop an assessment tool and an accompanying research protocol.</w:t>
      </w:r>
    </w:p>
    <w:p w14:paraId="6C993C83" w14:textId="6F5FBB95" w:rsidR="00D95653" w:rsidRPr="001255E6" w:rsidRDefault="00D95653" w:rsidP="004F7DD5">
      <w:pPr>
        <w:pStyle w:val="ListParagraph"/>
        <w:widowControl w:val="0"/>
        <w:numPr>
          <w:ilvl w:val="0"/>
          <w:numId w:val="5"/>
        </w:numPr>
        <w:spacing w:after="200" w:line="276" w:lineRule="auto"/>
        <w:contextualSpacing/>
        <w:rPr>
          <w:rFonts w:eastAsiaTheme="minorHAnsi"/>
        </w:rPr>
      </w:pPr>
      <w:r w:rsidRPr="001255E6">
        <w:rPr>
          <w:rFonts w:eastAsiaTheme="minorHAnsi"/>
        </w:rPr>
        <w:t>Identify all the requirements for ethical approval of the activities of impact evaluation. In addition, he/she/firm will lead the development of the research protocol, which will include: Overview of the methodology, data collection and planning plan analysis, summary of the measures adopted for the protection of the human subject’s including confidentiality demanded, assessment of the risks and benefits of the respondents</w:t>
      </w:r>
      <w:r w:rsidR="001065D3" w:rsidRPr="001255E6">
        <w:rPr>
          <w:rFonts w:eastAsiaTheme="minorHAnsi"/>
        </w:rPr>
        <w:t xml:space="preserve"> and approval by an ethics committee</w:t>
      </w:r>
    </w:p>
    <w:p w14:paraId="4DB36B9E" w14:textId="5C76E8E9" w:rsidR="00D95653" w:rsidRPr="001255E6" w:rsidRDefault="00D95653" w:rsidP="004F7DD5">
      <w:pPr>
        <w:pStyle w:val="ListParagraph"/>
        <w:widowControl w:val="0"/>
        <w:numPr>
          <w:ilvl w:val="0"/>
          <w:numId w:val="5"/>
        </w:numPr>
        <w:spacing w:after="200" w:line="276" w:lineRule="auto"/>
        <w:contextualSpacing/>
        <w:rPr>
          <w:rFonts w:eastAsiaTheme="minorHAnsi" w:cs="Arial"/>
          <w:bCs/>
          <w:szCs w:val="22"/>
        </w:rPr>
      </w:pPr>
      <w:r w:rsidRPr="001255E6">
        <w:rPr>
          <w:rFonts w:eastAsiaTheme="minorHAnsi"/>
        </w:rPr>
        <w:lastRenderedPageBreak/>
        <w:t xml:space="preserve">Implementation of Impact Assessment activities at baseline, </w:t>
      </w:r>
      <w:r w:rsidR="00C752B4" w:rsidRPr="001255E6">
        <w:rPr>
          <w:rFonts w:eastAsiaTheme="minorHAnsi"/>
        </w:rPr>
        <w:t>midterm,</w:t>
      </w:r>
      <w:r w:rsidRPr="001255E6">
        <w:rPr>
          <w:rFonts w:eastAsiaTheme="minorHAnsi"/>
        </w:rPr>
        <w:t xml:space="preserve"> and end line.</w:t>
      </w:r>
    </w:p>
    <w:p w14:paraId="77347A51" w14:textId="2B5910FB" w:rsidR="00D95653" w:rsidRPr="001255E6" w:rsidRDefault="00D95653" w:rsidP="004F7DD5">
      <w:pPr>
        <w:pStyle w:val="ListParagraph"/>
        <w:widowControl w:val="0"/>
        <w:numPr>
          <w:ilvl w:val="0"/>
          <w:numId w:val="5"/>
        </w:numPr>
        <w:spacing w:after="200" w:line="276" w:lineRule="auto"/>
        <w:contextualSpacing/>
        <w:rPr>
          <w:rFonts w:eastAsiaTheme="minorHAnsi"/>
        </w:rPr>
      </w:pPr>
      <w:r w:rsidRPr="001255E6">
        <w:rPr>
          <w:rFonts w:eastAsiaTheme="minorHAnsi"/>
        </w:rPr>
        <w:t xml:space="preserve">Monitoring of activities related to the preparation and execution of the impact assessment, </w:t>
      </w:r>
      <w:r w:rsidR="001065D3" w:rsidRPr="001255E6">
        <w:rPr>
          <w:rFonts w:eastAsiaTheme="minorHAnsi"/>
        </w:rPr>
        <w:t>including</w:t>
      </w:r>
      <w:r w:rsidRPr="001255E6">
        <w:rPr>
          <w:rFonts w:eastAsiaTheme="minorHAnsi"/>
        </w:rPr>
        <w:t xml:space="preserve"> identification of databases for analysis, identification of the result indicators within the different sources of data, articulation and crossings between the different bases</w:t>
      </w:r>
    </w:p>
    <w:p w14:paraId="3345612C" w14:textId="12ED4274" w:rsidR="00D95653" w:rsidRPr="001255E6" w:rsidRDefault="00D95653" w:rsidP="004F7DD5">
      <w:pPr>
        <w:pStyle w:val="ListParagraph"/>
        <w:widowControl w:val="0"/>
        <w:numPr>
          <w:ilvl w:val="0"/>
          <w:numId w:val="5"/>
        </w:numPr>
        <w:spacing w:after="200" w:line="276" w:lineRule="auto"/>
        <w:contextualSpacing/>
        <w:rPr>
          <w:rFonts w:eastAsiaTheme="minorHAnsi"/>
        </w:rPr>
      </w:pPr>
      <w:r w:rsidRPr="001255E6">
        <w:rPr>
          <w:rFonts w:eastAsiaTheme="minorHAnsi"/>
        </w:rPr>
        <w:t xml:space="preserve">Analysis of the reference data </w:t>
      </w:r>
      <w:r w:rsidR="008831D2" w:rsidRPr="001255E6">
        <w:rPr>
          <w:rFonts w:eastAsiaTheme="minorHAnsi"/>
        </w:rPr>
        <w:t>to</w:t>
      </w:r>
      <w:r w:rsidRPr="001255E6">
        <w:rPr>
          <w:rFonts w:eastAsiaTheme="minorHAnsi"/>
        </w:rPr>
        <w:t xml:space="preserve"> validate the evaluation design through the initial difference in media surveys.</w:t>
      </w:r>
    </w:p>
    <w:p w14:paraId="07ADB69F" w14:textId="77777777" w:rsidR="00D95653" w:rsidRPr="001255E6" w:rsidRDefault="00D95653" w:rsidP="004F7DD5">
      <w:pPr>
        <w:pStyle w:val="ListParagraph"/>
        <w:widowControl w:val="0"/>
        <w:numPr>
          <w:ilvl w:val="0"/>
          <w:numId w:val="5"/>
        </w:numPr>
        <w:spacing w:after="200" w:line="276" w:lineRule="auto"/>
        <w:contextualSpacing/>
        <w:rPr>
          <w:rFonts w:eastAsiaTheme="minorHAnsi"/>
        </w:rPr>
      </w:pPr>
      <w:r w:rsidRPr="001255E6">
        <w:rPr>
          <w:rFonts w:eastAsiaTheme="minorHAnsi"/>
        </w:rPr>
        <w:t>Manage documentation and data storage.</w:t>
      </w:r>
    </w:p>
    <w:p w14:paraId="2E4398E0" w14:textId="77777777" w:rsidR="00D95653" w:rsidRPr="001255E6" w:rsidRDefault="00D95653" w:rsidP="004F7DD5">
      <w:pPr>
        <w:pStyle w:val="ListParagraph"/>
        <w:widowControl w:val="0"/>
        <w:numPr>
          <w:ilvl w:val="0"/>
          <w:numId w:val="5"/>
        </w:numPr>
        <w:spacing w:after="200" w:line="276" w:lineRule="auto"/>
        <w:contextualSpacing/>
        <w:rPr>
          <w:rFonts w:eastAsiaTheme="minorHAnsi"/>
        </w:rPr>
      </w:pPr>
      <w:r w:rsidRPr="001255E6">
        <w:rPr>
          <w:rFonts w:eastAsiaTheme="minorHAnsi"/>
        </w:rPr>
        <w:t>Ensure adequate and complete documentation of evaluation activities of impact as well as making sure all the data and documentation corresponding is stored correctly.</w:t>
      </w:r>
    </w:p>
    <w:p w14:paraId="724C9C2B" w14:textId="331B2ABE" w:rsidR="00D95653" w:rsidRPr="001255E6" w:rsidRDefault="00D95653" w:rsidP="004F7DD5">
      <w:pPr>
        <w:pStyle w:val="ListParagraph"/>
        <w:widowControl w:val="0"/>
        <w:numPr>
          <w:ilvl w:val="0"/>
          <w:numId w:val="5"/>
        </w:numPr>
        <w:spacing w:after="200" w:line="276" w:lineRule="auto"/>
        <w:contextualSpacing/>
        <w:rPr>
          <w:rFonts w:eastAsiaTheme="minorHAnsi"/>
        </w:rPr>
      </w:pPr>
      <w:r w:rsidRPr="001255E6">
        <w:rPr>
          <w:rFonts w:eastAsiaTheme="minorHAnsi"/>
        </w:rPr>
        <w:t xml:space="preserve">Analysis of the data according to the design of the impact evaluation and the writing impact evaluation reports, </w:t>
      </w:r>
      <w:r w:rsidR="008831D2" w:rsidRPr="001255E6">
        <w:rPr>
          <w:rFonts w:eastAsiaTheme="minorHAnsi"/>
        </w:rPr>
        <w:t>presentations,</w:t>
      </w:r>
      <w:r w:rsidRPr="001255E6">
        <w:rPr>
          <w:rFonts w:eastAsiaTheme="minorHAnsi"/>
        </w:rPr>
        <w:t xml:space="preserve"> and summary of policies.</w:t>
      </w:r>
    </w:p>
    <w:p w14:paraId="001012D0" w14:textId="77777777" w:rsidR="00D95653" w:rsidRPr="00E57C05" w:rsidRDefault="00D95653" w:rsidP="004F7DD5">
      <w:pPr>
        <w:pStyle w:val="ListParagraph"/>
        <w:widowControl w:val="0"/>
        <w:numPr>
          <w:ilvl w:val="0"/>
          <w:numId w:val="5"/>
        </w:numPr>
        <w:spacing w:after="200" w:line="276" w:lineRule="auto"/>
        <w:contextualSpacing/>
        <w:rPr>
          <w:rFonts w:eastAsiaTheme="minorHAnsi"/>
        </w:rPr>
      </w:pPr>
      <w:r w:rsidRPr="001255E6">
        <w:rPr>
          <w:rFonts w:eastAsiaTheme="minorHAnsi"/>
        </w:rPr>
        <w:t xml:space="preserve">Present Impact assessment report </w:t>
      </w:r>
      <w:r w:rsidRPr="00E57C05">
        <w:rPr>
          <w:rFonts w:eastAsiaTheme="minorHAnsi"/>
        </w:rPr>
        <w:t xml:space="preserve">at baseline.  The need for downstream work is anticipated with regards to a mid -term and end of term assessment. </w:t>
      </w:r>
    </w:p>
    <w:p w14:paraId="03AE6C57" w14:textId="34438341" w:rsidR="00D95653" w:rsidRPr="00E57C05" w:rsidRDefault="00D95653" w:rsidP="004F7DD5">
      <w:pPr>
        <w:pStyle w:val="ListParagraph"/>
        <w:widowControl w:val="0"/>
        <w:numPr>
          <w:ilvl w:val="0"/>
          <w:numId w:val="5"/>
        </w:numPr>
        <w:spacing w:after="200" w:line="276" w:lineRule="auto"/>
        <w:contextualSpacing/>
        <w:rPr>
          <w:rFonts w:eastAsiaTheme="minorHAnsi"/>
        </w:rPr>
      </w:pPr>
      <w:r w:rsidRPr="00E57C05">
        <w:rPr>
          <w:rFonts w:eastAsiaTheme="minorHAnsi"/>
        </w:rPr>
        <w:t xml:space="preserve">Dissemination activities of impact results through presentations to project team and steering committee meetings and </w:t>
      </w:r>
      <w:r w:rsidR="008831D2" w:rsidRPr="00E57C05">
        <w:rPr>
          <w:rFonts w:eastAsiaTheme="minorHAnsi"/>
        </w:rPr>
        <w:t>seminars,</w:t>
      </w:r>
      <w:r w:rsidRPr="00E57C05">
        <w:rPr>
          <w:rFonts w:eastAsiaTheme="minorHAnsi"/>
        </w:rPr>
        <w:t xml:space="preserve"> as necessary.</w:t>
      </w:r>
    </w:p>
    <w:p w14:paraId="557EF09D" w14:textId="2D7C2CE5" w:rsidR="00D95653" w:rsidRPr="001255E6" w:rsidRDefault="00D95653" w:rsidP="004F7DD5">
      <w:pPr>
        <w:pStyle w:val="ListParagraph"/>
        <w:widowControl w:val="0"/>
        <w:numPr>
          <w:ilvl w:val="0"/>
          <w:numId w:val="5"/>
        </w:numPr>
        <w:spacing w:after="200" w:line="276" w:lineRule="auto"/>
        <w:contextualSpacing/>
        <w:rPr>
          <w:rFonts w:eastAsiaTheme="minorHAnsi"/>
        </w:rPr>
      </w:pPr>
      <w:r w:rsidRPr="00E57C05">
        <w:rPr>
          <w:rFonts w:eastAsiaTheme="minorHAnsi"/>
        </w:rPr>
        <w:t>Support all those activities that, although not listed in these</w:t>
      </w:r>
      <w:r w:rsidRPr="001255E6">
        <w:rPr>
          <w:rFonts w:eastAsiaTheme="minorHAnsi"/>
        </w:rPr>
        <w:t xml:space="preserve"> terms, are decisive for the correct implementation of the impact evaluation.</w:t>
      </w:r>
    </w:p>
    <w:p w14:paraId="0FD30A90" w14:textId="77777777" w:rsidR="00D95653" w:rsidRPr="001255E6" w:rsidRDefault="00D95653" w:rsidP="00D95653">
      <w:pPr>
        <w:pStyle w:val="ListParagraph"/>
        <w:widowControl w:val="0"/>
        <w:spacing w:after="200" w:line="276" w:lineRule="auto"/>
        <w:contextualSpacing/>
        <w:rPr>
          <w:rFonts w:eastAsiaTheme="minorHAnsi"/>
        </w:rPr>
      </w:pPr>
    </w:p>
    <w:p w14:paraId="3EA9F0B8" w14:textId="3E490F71" w:rsidR="00CB1F6A" w:rsidRPr="001255E6" w:rsidRDefault="00A21D52" w:rsidP="00BC256B">
      <w:pPr>
        <w:pStyle w:val="Heading2"/>
      </w:pPr>
      <w:bookmarkStart w:id="28" w:name="_Toc47607327"/>
      <w:r w:rsidRPr="001255E6">
        <w:t xml:space="preserve">5.  </w:t>
      </w:r>
      <w:r w:rsidR="00CB1F6A" w:rsidRPr="001255E6">
        <w:t>Reports / Deliverables</w:t>
      </w:r>
      <w:bookmarkEnd w:id="28"/>
    </w:p>
    <w:p w14:paraId="18848FCC" w14:textId="4AAB08B0" w:rsidR="00CB1F6A" w:rsidRPr="001255E6" w:rsidRDefault="00CB1F6A" w:rsidP="00CB1F6A">
      <w:pPr>
        <w:widowControl w:val="0"/>
        <w:spacing w:after="200" w:line="276" w:lineRule="auto"/>
        <w:contextualSpacing/>
        <w:rPr>
          <w:rFonts w:eastAsiaTheme="minorHAnsi"/>
        </w:rPr>
      </w:pPr>
      <w:r w:rsidRPr="001255E6">
        <w:rPr>
          <w:rFonts w:eastAsiaTheme="minorHAnsi"/>
        </w:rPr>
        <w:t xml:space="preserve">The contract must provide, to the </w:t>
      </w:r>
      <w:r w:rsidR="006F5D2D" w:rsidRPr="001255E6">
        <w:rPr>
          <w:rFonts w:eastAsiaTheme="minorHAnsi" w:cs="Arial"/>
          <w:bCs/>
          <w:szCs w:val="22"/>
        </w:rPr>
        <w:t>MOHW’s</w:t>
      </w:r>
      <w:r w:rsidR="006F5D2D" w:rsidRPr="001255E6">
        <w:rPr>
          <w:rFonts w:eastAsiaTheme="minorHAnsi"/>
        </w:rPr>
        <w:t xml:space="preserve"> </w:t>
      </w:r>
      <w:r w:rsidRPr="001255E6">
        <w:rPr>
          <w:rFonts w:eastAsiaTheme="minorHAnsi"/>
        </w:rPr>
        <w:t>satisfaction, the following products:</w:t>
      </w:r>
    </w:p>
    <w:p w14:paraId="1240810C" w14:textId="679A791E" w:rsidR="00F0408D" w:rsidRPr="001255E6" w:rsidRDefault="00D66A2E" w:rsidP="004F7DD5">
      <w:pPr>
        <w:pStyle w:val="ListParagraph"/>
        <w:widowControl w:val="0"/>
        <w:numPr>
          <w:ilvl w:val="0"/>
          <w:numId w:val="6"/>
        </w:numPr>
        <w:spacing w:after="200" w:line="276" w:lineRule="auto"/>
        <w:contextualSpacing/>
        <w:rPr>
          <w:rFonts w:eastAsiaTheme="minorHAnsi"/>
        </w:rPr>
      </w:pPr>
      <w:r w:rsidRPr="001255E6">
        <w:rPr>
          <w:rFonts w:eastAsiaTheme="minorHAnsi"/>
        </w:rPr>
        <w:t xml:space="preserve">Inception Report/ </w:t>
      </w:r>
      <w:r w:rsidR="007551B5" w:rsidRPr="001255E6">
        <w:rPr>
          <w:rFonts w:eastAsiaTheme="minorHAnsi"/>
        </w:rPr>
        <w:t>Work plan</w:t>
      </w:r>
    </w:p>
    <w:p w14:paraId="37E2A015" w14:textId="30F565FB" w:rsidR="00CB1F6A" w:rsidRPr="001255E6" w:rsidRDefault="00CB1F6A" w:rsidP="004F7DD5">
      <w:pPr>
        <w:pStyle w:val="ListParagraph"/>
        <w:widowControl w:val="0"/>
        <w:numPr>
          <w:ilvl w:val="0"/>
          <w:numId w:val="6"/>
        </w:numPr>
        <w:spacing w:after="200" w:line="276" w:lineRule="auto"/>
        <w:contextualSpacing/>
        <w:rPr>
          <w:rFonts w:eastAsiaTheme="minorHAnsi"/>
        </w:rPr>
      </w:pPr>
      <w:r w:rsidRPr="001255E6">
        <w:rPr>
          <w:rFonts w:eastAsiaTheme="minorHAnsi"/>
        </w:rPr>
        <w:t>A</w:t>
      </w:r>
      <w:r w:rsidR="00F0408D" w:rsidRPr="001255E6">
        <w:rPr>
          <w:rFonts w:eastAsiaTheme="minorHAnsi"/>
        </w:rPr>
        <w:t xml:space="preserve"> validated</w:t>
      </w:r>
      <w:r w:rsidRPr="001255E6">
        <w:rPr>
          <w:rFonts w:eastAsiaTheme="minorHAnsi"/>
        </w:rPr>
        <w:t xml:space="preserve"> impact evaluation design </w:t>
      </w:r>
    </w:p>
    <w:p w14:paraId="3922D9FD" w14:textId="5BB0E15B" w:rsidR="00CB1F6A" w:rsidRPr="001255E6" w:rsidRDefault="00F0408D" w:rsidP="004F7DD5">
      <w:pPr>
        <w:pStyle w:val="ListParagraph"/>
        <w:widowControl w:val="0"/>
        <w:numPr>
          <w:ilvl w:val="0"/>
          <w:numId w:val="6"/>
        </w:numPr>
        <w:spacing w:after="200" w:line="276" w:lineRule="auto"/>
        <w:contextualSpacing/>
        <w:rPr>
          <w:rFonts w:eastAsiaTheme="minorHAnsi"/>
        </w:rPr>
      </w:pPr>
      <w:r w:rsidRPr="001255E6">
        <w:rPr>
          <w:rFonts w:eastAsiaTheme="minorHAnsi"/>
        </w:rPr>
        <w:t xml:space="preserve">Assessment tool and </w:t>
      </w:r>
      <w:r w:rsidR="00CE76FF" w:rsidRPr="001255E6">
        <w:rPr>
          <w:rFonts w:eastAsiaTheme="minorHAnsi"/>
        </w:rPr>
        <w:t>research protocol</w:t>
      </w:r>
      <w:r w:rsidR="00CB1F6A" w:rsidRPr="001255E6">
        <w:rPr>
          <w:rFonts w:eastAsiaTheme="minorHAnsi"/>
        </w:rPr>
        <w:t>, including an overview of the methodology, the</w:t>
      </w:r>
      <w:r w:rsidR="00E97B0B" w:rsidRPr="001255E6">
        <w:rPr>
          <w:rFonts w:eastAsiaTheme="minorHAnsi"/>
        </w:rPr>
        <w:t xml:space="preserve"> </w:t>
      </w:r>
      <w:r w:rsidR="00CB1F6A" w:rsidRPr="001255E6">
        <w:rPr>
          <w:rFonts w:eastAsiaTheme="minorHAnsi"/>
        </w:rPr>
        <w:t>samp</w:t>
      </w:r>
      <w:r w:rsidR="00E97B0B" w:rsidRPr="001255E6">
        <w:rPr>
          <w:rFonts w:eastAsiaTheme="minorHAnsi"/>
        </w:rPr>
        <w:t>ling design d</w:t>
      </w:r>
      <w:r w:rsidR="00CB1F6A" w:rsidRPr="001255E6">
        <w:rPr>
          <w:rFonts w:eastAsiaTheme="minorHAnsi"/>
        </w:rPr>
        <w:t>ata collection and analysis plan; Overview</w:t>
      </w:r>
      <w:r w:rsidR="00881041" w:rsidRPr="001255E6">
        <w:rPr>
          <w:rFonts w:eastAsiaTheme="minorHAnsi"/>
        </w:rPr>
        <w:t xml:space="preserve"> </w:t>
      </w:r>
      <w:r w:rsidR="00CB1F6A" w:rsidRPr="001255E6">
        <w:rPr>
          <w:rFonts w:eastAsiaTheme="minorHAnsi"/>
        </w:rPr>
        <w:t>of the measures adopted for the protection of human subjects, and the evaluation of</w:t>
      </w:r>
      <w:r w:rsidR="00881041" w:rsidRPr="001255E6">
        <w:rPr>
          <w:rFonts w:eastAsiaTheme="minorHAnsi"/>
        </w:rPr>
        <w:t xml:space="preserve"> </w:t>
      </w:r>
      <w:r w:rsidR="00CB1F6A" w:rsidRPr="001255E6">
        <w:rPr>
          <w:rFonts w:eastAsiaTheme="minorHAnsi"/>
        </w:rPr>
        <w:t>the risks and benefits of respondents.</w:t>
      </w:r>
    </w:p>
    <w:p w14:paraId="09119143" w14:textId="1ED040F5" w:rsidR="00CB1F6A" w:rsidRPr="001255E6" w:rsidRDefault="00F0408D" w:rsidP="004F7DD5">
      <w:pPr>
        <w:pStyle w:val="ListParagraph"/>
        <w:widowControl w:val="0"/>
        <w:numPr>
          <w:ilvl w:val="0"/>
          <w:numId w:val="6"/>
        </w:numPr>
        <w:spacing w:after="200" w:line="276" w:lineRule="auto"/>
        <w:contextualSpacing/>
        <w:rPr>
          <w:rFonts w:eastAsiaTheme="minorHAnsi"/>
        </w:rPr>
      </w:pPr>
      <w:r w:rsidRPr="001255E6">
        <w:rPr>
          <w:rFonts w:eastAsiaTheme="minorHAnsi"/>
        </w:rPr>
        <w:t>Impact evaluation reports for baseline</w:t>
      </w:r>
      <w:r w:rsidR="00FD003E" w:rsidRPr="00514E9B">
        <w:rPr>
          <w:rFonts w:eastAsiaTheme="minorHAnsi"/>
        </w:rPr>
        <w:t>. (M</w:t>
      </w:r>
      <w:r w:rsidRPr="00514E9B">
        <w:rPr>
          <w:rFonts w:eastAsiaTheme="minorHAnsi"/>
        </w:rPr>
        <w:t xml:space="preserve">idterm and a </w:t>
      </w:r>
      <w:r w:rsidR="00CB1F6A" w:rsidRPr="00514E9B">
        <w:rPr>
          <w:rFonts w:eastAsiaTheme="minorHAnsi"/>
        </w:rPr>
        <w:t>final impact evaluation report</w:t>
      </w:r>
      <w:r w:rsidR="00FD003E" w:rsidRPr="00514E9B">
        <w:rPr>
          <w:rFonts w:eastAsiaTheme="minorHAnsi"/>
        </w:rPr>
        <w:t xml:space="preserve"> as later deliverables in consideration of downstream </w:t>
      </w:r>
      <w:r w:rsidR="00D95653" w:rsidRPr="00514E9B">
        <w:rPr>
          <w:rFonts w:eastAsiaTheme="minorHAnsi"/>
        </w:rPr>
        <w:t>work</w:t>
      </w:r>
      <w:r w:rsidR="00D95653" w:rsidRPr="00514E9B">
        <w:rPr>
          <w:rFonts w:eastAsiaTheme="minorHAnsi"/>
          <w:b/>
        </w:rPr>
        <w:t>)</w:t>
      </w:r>
      <w:r w:rsidR="00CB1F6A" w:rsidRPr="00514E9B">
        <w:rPr>
          <w:rFonts w:eastAsiaTheme="minorHAnsi"/>
        </w:rPr>
        <w:t>,</w:t>
      </w:r>
      <w:r w:rsidR="00CB1F6A" w:rsidRPr="001255E6">
        <w:rPr>
          <w:rFonts w:eastAsiaTheme="minorHAnsi"/>
        </w:rPr>
        <w:t xml:space="preserve"> with a presentation and a policy note</w:t>
      </w:r>
      <w:r w:rsidRPr="001255E6">
        <w:rPr>
          <w:rFonts w:eastAsiaTheme="minorHAnsi"/>
        </w:rPr>
        <w:t xml:space="preserve"> at the end of the programme</w:t>
      </w:r>
      <w:r w:rsidR="00CB1F6A" w:rsidRPr="001255E6">
        <w:rPr>
          <w:rFonts w:eastAsiaTheme="minorHAnsi"/>
        </w:rPr>
        <w:t>.</w:t>
      </w:r>
      <w:r w:rsidR="00FD003E" w:rsidRPr="001255E6">
        <w:rPr>
          <w:rFonts w:eastAsiaTheme="minorHAnsi"/>
        </w:rPr>
        <w:t xml:space="preserve"> </w:t>
      </w:r>
    </w:p>
    <w:p w14:paraId="1629DE8F" w14:textId="34413028" w:rsidR="00CB1F6A" w:rsidRPr="001255E6" w:rsidRDefault="00CB1F6A" w:rsidP="004F7DD5">
      <w:pPr>
        <w:pStyle w:val="ListParagraph"/>
        <w:widowControl w:val="0"/>
        <w:numPr>
          <w:ilvl w:val="0"/>
          <w:numId w:val="6"/>
        </w:numPr>
        <w:spacing w:after="200" w:line="276" w:lineRule="auto"/>
        <w:contextualSpacing/>
        <w:rPr>
          <w:rFonts w:eastAsiaTheme="minorHAnsi"/>
        </w:rPr>
      </w:pPr>
      <w:r w:rsidRPr="001255E6">
        <w:rPr>
          <w:rFonts w:eastAsiaTheme="minorHAnsi"/>
        </w:rPr>
        <w:t xml:space="preserve">All </w:t>
      </w:r>
      <w:r w:rsidR="00D30F61" w:rsidRPr="001255E6">
        <w:rPr>
          <w:rFonts w:eastAsiaTheme="minorHAnsi"/>
        </w:rPr>
        <w:t>sets</w:t>
      </w:r>
      <w:r w:rsidRPr="001255E6">
        <w:rPr>
          <w:rFonts w:eastAsiaTheme="minorHAnsi"/>
        </w:rPr>
        <w:t xml:space="preserve"> of final data, statistical code</w:t>
      </w:r>
      <w:r w:rsidR="00D30F61" w:rsidRPr="001255E6">
        <w:rPr>
          <w:rFonts w:eastAsiaTheme="minorHAnsi"/>
        </w:rPr>
        <w:t>s</w:t>
      </w:r>
      <w:r w:rsidRPr="001255E6">
        <w:rPr>
          <w:rFonts w:eastAsiaTheme="minorHAnsi"/>
        </w:rPr>
        <w:t xml:space="preserve"> and other inputs used for the</w:t>
      </w:r>
      <w:r w:rsidR="00D30F61" w:rsidRPr="001255E6">
        <w:rPr>
          <w:rFonts w:eastAsiaTheme="minorHAnsi"/>
        </w:rPr>
        <w:t xml:space="preserve"> i</w:t>
      </w:r>
      <w:r w:rsidRPr="001255E6">
        <w:rPr>
          <w:rFonts w:eastAsiaTheme="minorHAnsi"/>
        </w:rPr>
        <w:t>mpact evaluation</w:t>
      </w:r>
    </w:p>
    <w:p w14:paraId="5F4BE313" w14:textId="48847AF9" w:rsidR="00CB1F6A" w:rsidRPr="001255E6" w:rsidRDefault="00CB1F6A" w:rsidP="004F7DD5">
      <w:pPr>
        <w:pStyle w:val="ListParagraph"/>
        <w:widowControl w:val="0"/>
        <w:numPr>
          <w:ilvl w:val="0"/>
          <w:numId w:val="6"/>
        </w:numPr>
        <w:spacing w:after="200" w:line="276" w:lineRule="auto"/>
        <w:contextualSpacing/>
        <w:rPr>
          <w:rFonts w:eastAsiaTheme="minorHAnsi"/>
        </w:rPr>
      </w:pPr>
      <w:r w:rsidRPr="001255E6">
        <w:rPr>
          <w:rFonts w:eastAsiaTheme="minorHAnsi"/>
        </w:rPr>
        <w:t>Dissemination activities.</w:t>
      </w:r>
    </w:p>
    <w:p w14:paraId="60BCE00F" w14:textId="63166097" w:rsidR="00CB1F6A" w:rsidRPr="001255E6" w:rsidRDefault="00CB1F6A" w:rsidP="00582DB3">
      <w:pPr>
        <w:widowControl w:val="0"/>
        <w:spacing w:after="200" w:line="276" w:lineRule="auto"/>
        <w:contextualSpacing/>
        <w:rPr>
          <w:rFonts w:eastAsiaTheme="minorHAnsi"/>
        </w:rPr>
      </w:pPr>
      <w:r w:rsidRPr="001255E6">
        <w:rPr>
          <w:rFonts w:eastAsiaTheme="minorHAnsi"/>
        </w:rPr>
        <w:t xml:space="preserve">All reports must be submitted to the </w:t>
      </w:r>
      <w:r w:rsidR="00971095" w:rsidRPr="001255E6">
        <w:rPr>
          <w:rFonts w:eastAsiaTheme="minorHAnsi"/>
        </w:rPr>
        <w:t>MOHW</w:t>
      </w:r>
      <w:r w:rsidRPr="001255E6">
        <w:rPr>
          <w:rFonts w:eastAsiaTheme="minorHAnsi"/>
        </w:rPr>
        <w:t>. The report must include a</w:t>
      </w:r>
      <w:r w:rsidR="00D30F61" w:rsidRPr="001255E6">
        <w:rPr>
          <w:rFonts w:eastAsiaTheme="minorHAnsi"/>
        </w:rPr>
        <w:t xml:space="preserve"> </w:t>
      </w:r>
      <w:r w:rsidRPr="001255E6">
        <w:rPr>
          <w:rFonts w:eastAsiaTheme="minorHAnsi"/>
        </w:rPr>
        <w:t>title page, main document, and all attachme</w:t>
      </w:r>
      <w:r w:rsidR="00D30F61" w:rsidRPr="001255E6">
        <w:rPr>
          <w:rFonts w:eastAsiaTheme="minorHAnsi"/>
        </w:rPr>
        <w:t>nts</w:t>
      </w:r>
      <w:r w:rsidRPr="001255E6">
        <w:rPr>
          <w:rFonts w:eastAsiaTheme="minorHAnsi"/>
        </w:rPr>
        <w:t xml:space="preserve">. </w:t>
      </w:r>
    </w:p>
    <w:p w14:paraId="6154CF3D" w14:textId="77777777" w:rsidR="00BC256B" w:rsidRPr="001255E6" w:rsidRDefault="00BC256B" w:rsidP="00BC256B">
      <w:pPr>
        <w:widowControl w:val="0"/>
        <w:spacing w:after="200" w:line="276" w:lineRule="auto"/>
        <w:contextualSpacing/>
        <w:rPr>
          <w:rFonts w:eastAsiaTheme="minorHAnsi" w:cs="Arial"/>
          <w:bCs/>
          <w:szCs w:val="22"/>
        </w:rPr>
      </w:pPr>
    </w:p>
    <w:p w14:paraId="50B9E636" w14:textId="04545021" w:rsidR="00662938" w:rsidRPr="001255E6" w:rsidRDefault="0095422F" w:rsidP="0095422F">
      <w:pPr>
        <w:pStyle w:val="Heading2"/>
        <w:rPr>
          <w:rFonts w:eastAsiaTheme="minorHAnsi"/>
        </w:rPr>
      </w:pPr>
      <w:bookmarkStart w:id="29" w:name="_Toc47607328"/>
      <w:r w:rsidRPr="001255E6">
        <w:rPr>
          <w:rFonts w:eastAsiaTheme="minorHAnsi"/>
        </w:rPr>
        <w:lastRenderedPageBreak/>
        <w:t xml:space="preserve">6. </w:t>
      </w:r>
      <w:r w:rsidR="00662938" w:rsidRPr="001255E6">
        <w:rPr>
          <w:rFonts w:eastAsiaTheme="minorHAnsi"/>
        </w:rPr>
        <w:t>Project Schedule and Milestones</w:t>
      </w:r>
      <w:bookmarkEnd w:id="29"/>
    </w:p>
    <w:p w14:paraId="63503C1C" w14:textId="5AF6F127" w:rsidR="00662938" w:rsidRPr="001255E6" w:rsidRDefault="003B4568" w:rsidP="003B4568">
      <w:pPr>
        <w:pStyle w:val="Heading3"/>
      </w:pPr>
      <w:bookmarkStart w:id="30" w:name="_Toc47607329"/>
      <w:r w:rsidRPr="001255E6">
        <w:t xml:space="preserve">6.1 </w:t>
      </w:r>
      <w:r w:rsidR="00662938" w:rsidRPr="001255E6">
        <w:t>Evaluation Timeline</w:t>
      </w:r>
      <w:r w:rsidR="00A92A42" w:rsidRPr="001255E6">
        <w:t>s-</w:t>
      </w:r>
      <w:bookmarkEnd w:id="30"/>
    </w:p>
    <w:tbl>
      <w:tblPr>
        <w:tblW w:w="5340" w:type="pct"/>
        <w:tblLook w:val="04A0" w:firstRow="1" w:lastRow="0" w:firstColumn="1" w:lastColumn="0" w:noHBand="0" w:noVBand="1"/>
      </w:tblPr>
      <w:tblGrid>
        <w:gridCol w:w="3636"/>
        <w:gridCol w:w="319"/>
        <w:gridCol w:w="317"/>
        <w:gridCol w:w="317"/>
        <w:gridCol w:w="318"/>
        <w:gridCol w:w="317"/>
        <w:gridCol w:w="317"/>
        <w:gridCol w:w="317"/>
        <w:gridCol w:w="319"/>
        <w:gridCol w:w="317"/>
        <w:gridCol w:w="317"/>
        <w:gridCol w:w="319"/>
        <w:gridCol w:w="317"/>
        <w:gridCol w:w="317"/>
        <w:gridCol w:w="319"/>
        <w:gridCol w:w="317"/>
        <w:gridCol w:w="317"/>
        <w:gridCol w:w="318"/>
        <w:gridCol w:w="317"/>
        <w:gridCol w:w="317"/>
        <w:gridCol w:w="317"/>
      </w:tblGrid>
      <w:tr w:rsidR="00D95653" w:rsidRPr="001255E6" w14:paraId="430716F6" w14:textId="77777777" w:rsidTr="00D95653">
        <w:trPr>
          <w:trHeight w:val="315"/>
          <w:tblHeader/>
        </w:trPr>
        <w:tc>
          <w:tcPr>
            <w:tcW w:w="363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69A7609C" w14:textId="77777777" w:rsidR="00D95653" w:rsidRPr="001255E6" w:rsidRDefault="00D95653" w:rsidP="00D95653">
            <w:pPr>
              <w:suppressAutoHyphens w:val="0"/>
              <w:jc w:val="center"/>
              <w:rPr>
                <w:rFonts w:cs="Arial"/>
                <w:b/>
                <w:bCs/>
                <w:color w:val="000000"/>
                <w:sz w:val="18"/>
                <w:szCs w:val="18"/>
              </w:rPr>
            </w:pPr>
            <w:r w:rsidRPr="001255E6">
              <w:rPr>
                <w:rFonts w:cs="Arial"/>
                <w:b/>
                <w:bCs/>
                <w:color w:val="000000"/>
                <w:sz w:val="18"/>
                <w:szCs w:val="18"/>
              </w:rPr>
              <w:t>Year</w:t>
            </w:r>
          </w:p>
        </w:tc>
        <w:tc>
          <w:tcPr>
            <w:tcW w:w="1271" w:type="dxa"/>
            <w:gridSpan w:val="4"/>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55321F88" w14:textId="77777777" w:rsidR="00D95653" w:rsidRPr="001255E6" w:rsidRDefault="00D95653" w:rsidP="00D95653">
            <w:pPr>
              <w:suppressAutoHyphens w:val="0"/>
              <w:jc w:val="center"/>
              <w:rPr>
                <w:rFonts w:cs="Arial"/>
                <w:b/>
                <w:bCs/>
                <w:color w:val="000000"/>
                <w:sz w:val="18"/>
                <w:szCs w:val="18"/>
              </w:rPr>
            </w:pPr>
            <w:r w:rsidRPr="001255E6">
              <w:rPr>
                <w:rFonts w:cs="Arial"/>
                <w:b/>
                <w:bCs/>
                <w:color w:val="000000"/>
                <w:sz w:val="18"/>
                <w:szCs w:val="18"/>
              </w:rPr>
              <w:t>2020</w:t>
            </w:r>
          </w:p>
        </w:tc>
        <w:tc>
          <w:tcPr>
            <w:tcW w:w="1270" w:type="dxa"/>
            <w:gridSpan w:val="4"/>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7EF07C98" w14:textId="77777777" w:rsidR="00D95653" w:rsidRPr="001255E6" w:rsidRDefault="00D95653" w:rsidP="00D95653">
            <w:pPr>
              <w:suppressAutoHyphens w:val="0"/>
              <w:jc w:val="center"/>
              <w:rPr>
                <w:rFonts w:cs="Arial"/>
                <w:b/>
                <w:bCs/>
                <w:color w:val="000000"/>
                <w:sz w:val="18"/>
                <w:szCs w:val="18"/>
              </w:rPr>
            </w:pPr>
            <w:r w:rsidRPr="001255E6">
              <w:rPr>
                <w:rFonts w:cs="Arial"/>
                <w:b/>
                <w:bCs/>
                <w:color w:val="000000"/>
                <w:sz w:val="18"/>
                <w:szCs w:val="18"/>
              </w:rPr>
              <w:t>2021</w:t>
            </w:r>
          </w:p>
        </w:tc>
        <w:tc>
          <w:tcPr>
            <w:tcW w:w="1270" w:type="dxa"/>
            <w:gridSpan w:val="4"/>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6AE8CB67" w14:textId="77777777" w:rsidR="00D95653" w:rsidRPr="001255E6" w:rsidRDefault="00D95653" w:rsidP="00D95653">
            <w:pPr>
              <w:suppressAutoHyphens w:val="0"/>
              <w:jc w:val="center"/>
              <w:rPr>
                <w:rFonts w:cs="Arial"/>
                <w:b/>
                <w:bCs/>
                <w:color w:val="000000"/>
                <w:sz w:val="18"/>
                <w:szCs w:val="18"/>
              </w:rPr>
            </w:pPr>
            <w:r w:rsidRPr="001255E6">
              <w:rPr>
                <w:rFonts w:cs="Arial"/>
                <w:b/>
                <w:bCs/>
                <w:color w:val="000000"/>
                <w:sz w:val="18"/>
                <w:szCs w:val="18"/>
              </w:rPr>
              <w:t>2022</w:t>
            </w:r>
          </w:p>
        </w:tc>
        <w:tc>
          <w:tcPr>
            <w:tcW w:w="1270" w:type="dxa"/>
            <w:gridSpan w:val="4"/>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7FD015BE" w14:textId="77777777" w:rsidR="00D95653" w:rsidRPr="001255E6" w:rsidRDefault="00D95653" w:rsidP="00D95653">
            <w:pPr>
              <w:suppressAutoHyphens w:val="0"/>
              <w:jc w:val="center"/>
              <w:rPr>
                <w:rFonts w:cs="Arial"/>
                <w:b/>
                <w:bCs/>
                <w:color w:val="000000"/>
                <w:sz w:val="18"/>
                <w:szCs w:val="18"/>
              </w:rPr>
            </w:pPr>
            <w:r w:rsidRPr="001255E6">
              <w:rPr>
                <w:rFonts w:cs="Arial"/>
                <w:b/>
                <w:bCs/>
                <w:color w:val="000000"/>
                <w:sz w:val="18"/>
                <w:szCs w:val="18"/>
              </w:rPr>
              <w:t>2023</w:t>
            </w:r>
          </w:p>
        </w:tc>
        <w:tc>
          <w:tcPr>
            <w:tcW w:w="1269" w:type="dxa"/>
            <w:gridSpan w:val="4"/>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6CDF0671" w14:textId="77777777" w:rsidR="00D95653" w:rsidRPr="001255E6" w:rsidRDefault="00D95653" w:rsidP="00D95653">
            <w:pPr>
              <w:suppressAutoHyphens w:val="0"/>
              <w:jc w:val="center"/>
              <w:rPr>
                <w:rFonts w:cs="Arial"/>
                <w:b/>
                <w:bCs/>
                <w:color w:val="000000"/>
                <w:sz w:val="18"/>
                <w:szCs w:val="18"/>
              </w:rPr>
            </w:pPr>
            <w:r w:rsidRPr="001255E6">
              <w:rPr>
                <w:rFonts w:cs="Arial"/>
                <w:b/>
                <w:bCs/>
                <w:color w:val="000000"/>
                <w:sz w:val="18"/>
                <w:szCs w:val="18"/>
              </w:rPr>
              <w:t>2024</w:t>
            </w:r>
          </w:p>
        </w:tc>
      </w:tr>
      <w:tr w:rsidR="00D95653" w:rsidRPr="001255E6" w14:paraId="193D7328" w14:textId="77777777" w:rsidTr="00D95653">
        <w:trPr>
          <w:trHeight w:val="315"/>
          <w:tblHeader/>
        </w:trPr>
        <w:tc>
          <w:tcPr>
            <w:tcW w:w="3636"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0208A33A" w14:textId="77777777" w:rsidR="00D95653" w:rsidRPr="001255E6" w:rsidRDefault="00D95653" w:rsidP="00D95653">
            <w:pPr>
              <w:suppressAutoHyphens w:val="0"/>
              <w:rPr>
                <w:rFonts w:cs="Arial"/>
                <w:b/>
                <w:bCs/>
                <w:color w:val="000000"/>
                <w:sz w:val="18"/>
                <w:szCs w:val="18"/>
              </w:rPr>
            </w:pPr>
            <w:r w:rsidRPr="001255E6">
              <w:rPr>
                <w:rFonts w:cs="Arial"/>
                <w:b/>
                <w:bCs/>
                <w:color w:val="000000"/>
                <w:sz w:val="18"/>
                <w:szCs w:val="18"/>
              </w:rPr>
              <w:t>Trimester</w:t>
            </w:r>
          </w:p>
        </w:tc>
        <w:tc>
          <w:tcPr>
            <w:tcW w:w="31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06AA2F7" w14:textId="77777777" w:rsidR="00D95653" w:rsidRPr="001255E6" w:rsidRDefault="00D95653" w:rsidP="00D95653">
            <w:pPr>
              <w:suppressAutoHyphens w:val="0"/>
              <w:rPr>
                <w:rFonts w:cs="Arial"/>
                <w:b/>
                <w:bCs/>
                <w:color w:val="000000"/>
                <w:sz w:val="18"/>
                <w:szCs w:val="18"/>
              </w:rPr>
            </w:pPr>
            <w:r w:rsidRPr="001255E6">
              <w:rPr>
                <w:rFonts w:cs="Arial"/>
                <w:b/>
                <w:bCs/>
                <w:color w:val="000000"/>
                <w:sz w:val="18"/>
                <w:szCs w:val="18"/>
              </w:rPr>
              <w:t>1</w:t>
            </w:r>
          </w:p>
        </w:tc>
        <w:tc>
          <w:tcPr>
            <w:tcW w:w="3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5FAAEBB" w14:textId="77777777" w:rsidR="00D95653" w:rsidRPr="001255E6" w:rsidRDefault="00D95653" w:rsidP="00D95653">
            <w:pPr>
              <w:suppressAutoHyphens w:val="0"/>
              <w:rPr>
                <w:rFonts w:cs="Arial"/>
                <w:b/>
                <w:bCs/>
                <w:color w:val="000000"/>
                <w:sz w:val="18"/>
                <w:szCs w:val="18"/>
              </w:rPr>
            </w:pPr>
            <w:r w:rsidRPr="001255E6">
              <w:rPr>
                <w:rFonts w:cs="Arial"/>
                <w:b/>
                <w:bCs/>
                <w:color w:val="000000"/>
                <w:sz w:val="18"/>
                <w:szCs w:val="18"/>
              </w:rPr>
              <w:t>2</w:t>
            </w:r>
          </w:p>
        </w:tc>
        <w:tc>
          <w:tcPr>
            <w:tcW w:w="3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D0E13F9" w14:textId="77777777" w:rsidR="00D95653" w:rsidRPr="001255E6" w:rsidRDefault="00D95653" w:rsidP="00D95653">
            <w:pPr>
              <w:suppressAutoHyphens w:val="0"/>
              <w:rPr>
                <w:rFonts w:cs="Arial"/>
                <w:b/>
                <w:bCs/>
                <w:color w:val="000000"/>
                <w:sz w:val="18"/>
                <w:szCs w:val="18"/>
              </w:rPr>
            </w:pPr>
            <w:r w:rsidRPr="001255E6">
              <w:rPr>
                <w:rFonts w:cs="Arial"/>
                <w:b/>
                <w:bCs/>
                <w:color w:val="000000"/>
                <w:sz w:val="18"/>
                <w:szCs w:val="18"/>
              </w:rPr>
              <w:t>3</w:t>
            </w:r>
          </w:p>
        </w:tc>
        <w:tc>
          <w:tcPr>
            <w:tcW w:w="3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02121B4" w14:textId="77777777" w:rsidR="00D95653" w:rsidRPr="001255E6" w:rsidRDefault="00D95653" w:rsidP="00D95653">
            <w:pPr>
              <w:suppressAutoHyphens w:val="0"/>
              <w:rPr>
                <w:rFonts w:cs="Arial"/>
                <w:b/>
                <w:bCs/>
                <w:color w:val="000000"/>
                <w:sz w:val="18"/>
                <w:szCs w:val="18"/>
              </w:rPr>
            </w:pPr>
            <w:r w:rsidRPr="001255E6">
              <w:rPr>
                <w:rFonts w:cs="Arial"/>
                <w:b/>
                <w:bCs/>
                <w:color w:val="000000"/>
                <w:sz w:val="18"/>
                <w:szCs w:val="18"/>
              </w:rPr>
              <w:t>4</w:t>
            </w:r>
          </w:p>
        </w:tc>
        <w:tc>
          <w:tcPr>
            <w:tcW w:w="3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216E61C" w14:textId="77777777" w:rsidR="00D95653" w:rsidRPr="001255E6" w:rsidRDefault="00D95653" w:rsidP="00D95653">
            <w:pPr>
              <w:suppressAutoHyphens w:val="0"/>
              <w:rPr>
                <w:rFonts w:cs="Arial"/>
                <w:b/>
                <w:bCs/>
                <w:color w:val="000000"/>
                <w:sz w:val="18"/>
                <w:szCs w:val="18"/>
              </w:rPr>
            </w:pPr>
            <w:r w:rsidRPr="001255E6">
              <w:rPr>
                <w:rFonts w:cs="Arial"/>
                <w:b/>
                <w:bCs/>
                <w:color w:val="000000"/>
                <w:sz w:val="18"/>
                <w:szCs w:val="18"/>
              </w:rPr>
              <w:t>1</w:t>
            </w:r>
          </w:p>
        </w:tc>
        <w:tc>
          <w:tcPr>
            <w:tcW w:w="3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3869357" w14:textId="77777777" w:rsidR="00D95653" w:rsidRPr="001255E6" w:rsidRDefault="00D95653" w:rsidP="00D95653">
            <w:pPr>
              <w:suppressAutoHyphens w:val="0"/>
              <w:rPr>
                <w:rFonts w:cs="Arial"/>
                <w:b/>
                <w:bCs/>
                <w:color w:val="000000"/>
                <w:sz w:val="18"/>
                <w:szCs w:val="18"/>
              </w:rPr>
            </w:pPr>
            <w:r w:rsidRPr="001255E6">
              <w:rPr>
                <w:rFonts w:cs="Arial"/>
                <w:b/>
                <w:bCs/>
                <w:color w:val="000000"/>
                <w:sz w:val="18"/>
                <w:szCs w:val="18"/>
              </w:rPr>
              <w:t>2</w:t>
            </w:r>
          </w:p>
        </w:tc>
        <w:tc>
          <w:tcPr>
            <w:tcW w:w="3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CCF6246" w14:textId="77777777" w:rsidR="00D95653" w:rsidRPr="001255E6" w:rsidRDefault="00D95653" w:rsidP="00D95653">
            <w:pPr>
              <w:suppressAutoHyphens w:val="0"/>
              <w:rPr>
                <w:rFonts w:cs="Arial"/>
                <w:b/>
                <w:bCs/>
                <w:color w:val="000000"/>
                <w:sz w:val="18"/>
                <w:szCs w:val="18"/>
              </w:rPr>
            </w:pPr>
            <w:r w:rsidRPr="001255E6">
              <w:rPr>
                <w:rFonts w:cs="Arial"/>
                <w:b/>
                <w:bCs/>
                <w:color w:val="000000"/>
                <w:sz w:val="18"/>
                <w:szCs w:val="18"/>
              </w:rPr>
              <w:t>3</w:t>
            </w:r>
          </w:p>
        </w:tc>
        <w:tc>
          <w:tcPr>
            <w:tcW w:w="31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AF9DFF5" w14:textId="77777777" w:rsidR="00D95653" w:rsidRPr="001255E6" w:rsidRDefault="00D95653" w:rsidP="00D95653">
            <w:pPr>
              <w:suppressAutoHyphens w:val="0"/>
              <w:rPr>
                <w:rFonts w:cs="Arial"/>
                <w:b/>
                <w:bCs/>
                <w:color w:val="000000"/>
                <w:sz w:val="18"/>
                <w:szCs w:val="18"/>
              </w:rPr>
            </w:pPr>
            <w:r w:rsidRPr="001255E6">
              <w:rPr>
                <w:rFonts w:cs="Arial"/>
                <w:b/>
                <w:bCs/>
                <w:color w:val="000000"/>
                <w:sz w:val="18"/>
                <w:szCs w:val="18"/>
              </w:rPr>
              <w:t>4</w:t>
            </w:r>
          </w:p>
        </w:tc>
        <w:tc>
          <w:tcPr>
            <w:tcW w:w="3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F11B39C" w14:textId="77777777" w:rsidR="00D95653" w:rsidRPr="001255E6" w:rsidRDefault="00D95653" w:rsidP="00D95653">
            <w:pPr>
              <w:suppressAutoHyphens w:val="0"/>
              <w:rPr>
                <w:rFonts w:cs="Arial"/>
                <w:b/>
                <w:bCs/>
                <w:color w:val="000000"/>
                <w:sz w:val="18"/>
                <w:szCs w:val="18"/>
              </w:rPr>
            </w:pPr>
            <w:r w:rsidRPr="001255E6">
              <w:rPr>
                <w:rFonts w:cs="Arial"/>
                <w:b/>
                <w:bCs/>
                <w:color w:val="000000"/>
                <w:sz w:val="18"/>
                <w:szCs w:val="18"/>
              </w:rPr>
              <w:t>1</w:t>
            </w:r>
          </w:p>
        </w:tc>
        <w:tc>
          <w:tcPr>
            <w:tcW w:w="3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5246062" w14:textId="77777777" w:rsidR="00D95653" w:rsidRPr="001255E6" w:rsidRDefault="00D95653" w:rsidP="00D95653">
            <w:pPr>
              <w:suppressAutoHyphens w:val="0"/>
              <w:rPr>
                <w:rFonts w:cs="Arial"/>
                <w:b/>
                <w:bCs/>
                <w:color w:val="000000"/>
                <w:sz w:val="18"/>
                <w:szCs w:val="18"/>
              </w:rPr>
            </w:pPr>
            <w:r w:rsidRPr="001255E6">
              <w:rPr>
                <w:rFonts w:cs="Arial"/>
                <w:b/>
                <w:bCs/>
                <w:color w:val="000000"/>
                <w:sz w:val="18"/>
                <w:szCs w:val="18"/>
              </w:rPr>
              <w:t>2</w:t>
            </w:r>
          </w:p>
        </w:tc>
        <w:tc>
          <w:tcPr>
            <w:tcW w:w="31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F925AFB" w14:textId="77777777" w:rsidR="00D95653" w:rsidRPr="001255E6" w:rsidRDefault="00D95653" w:rsidP="00D95653">
            <w:pPr>
              <w:suppressAutoHyphens w:val="0"/>
              <w:rPr>
                <w:rFonts w:cs="Arial"/>
                <w:b/>
                <w:bCs/>
                <w:color w:val="000000"/>
                <w:sz w:val="18"/>
                <w:szCs w:val="18"/>
              </w:rPr>
            </w:pPr>
            <w:r w:rsidRPr="001255E6">
              <w:rPr>
                <w:rFonts w:cs="Arial"/>
                <w:b/>
                <w:bCs/>
                <w:color w:val="000000"/>
                <w:sz w:val="18"/>
                <w:szCs w:val="18"/>
              </w:rPr>
              <w:t>3</w:t>
            </w:r>
          </w:p>
        </w:tc>
        <w:tc>
          <w:tcPr>
            <w:tcW w:w="3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CB91EAF" w14:textId="77777777" w:rsidR="00D95653" w:rsidRPr="001255E6" w:rsidRDefault="00D95653" w:rsidP="00D95653">
            <w:pPr>
              <w:suppressAutoHyphens w:val="0"/>
              <w:rPr>
                <w:rFonts w:cs="Arial"/>
                <w:b/>
                <w:bCs/>
                <w:color w:val="000000"/>
                <w:sz w:val="18"/>
                <w:szCs w:val="18"/>
              </w:rPr>
            </w:pPr>
            <w:r w:rsidRPr="001255E6">
              <w:rPr>
                <w:rFonts w:cs="Arial"/>
                <w:b/>
                <w:bCs/>
                <w:color w:val="000000"/>
                <w:sz w:val="18"/>
                <w:szCs w:val="18"/>
              </w:rPr>
              <w:t>4</w:t>
            </w:r>
          </w:p>
        </w:tc>
        <w:tc>
          <w:tcPr>
            <w:tcW w:w="3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4DAEEB2" w14:textId="77777777" w:rsidR="00D95653" w:rsidRPr="001255E6" w:rsidRDefault="00D95653" w:rsidP="00D95653">
            <w:pPr>
              <w:suppressAutoHyphens w:val="0"/>
              <w:rPr>
                <w:rFonts w:cs="Arial"/>
                <w:b/>
                <w:bCs/>
                <w:color w:val="000000"/>
                <w:sz w:val="18"/>
                <w:szCs w:val="18"/>
              </w:rPr>
            </w:pPr>
            <w:r w:rsidRPr="001255E6">
              <w:rPr>
                <w:rFonts w:cs="Arial"/>
                <w:b/>
                <w:bCs/>
                <w:color w:val="000000"/>
                <w:sz w:val="18"/>
                <w:szCs w:val="18"/>
              </w:rPr>
              <w:t>1</w:t>
            </w:r>
          </w:p>
        </w:tc>
        <w:tc>
          <w:tcPr>
            <w:tcW w:w="31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E041BAD" w14:textId="77777777" w:rsidR="00D95653" w:rsidRPr="001255E6" w:rsidRDefault="00D95653" w:rsidP="00D95653">
            <w:pPr>
              <w:suppressAutoHyphens w:val="0"/>
              <w:rPr>
                <w:rFonts w:cs="Arial"/>
                <w:b/>
                <w:bCs/>
                <w:color w:val="000000"/>
                <w:sz w:val="18"/>
                <w:szCs w:val="18"/>
              </w:rPr>
            </w:pPr>
            <w:r w:rsidRPr="001255E6">
              <w:rPr>
                <w:rFonts w:cs="Arial"/>
                <w:b/>
                <w:bCs/>
                <w:color w:val="000000"/>
                <w:sz w:val="18"/>
                <w:szCs w:val="18"/>
              </w:rPr>
              <w:t>2</w:t>
            </w:r>
          </w:p>
        </w:tc>
        <w:tc>
          <w:tcPr>
            <w:tcW w:w="3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EA67CCF" w14:textId="77777777" w:rsidR="00D95653" w:rsidRPr="001255E6" w:rsidRDefault="00D95653" w:rsidP="00D95653">
            <w:pPr>
              <w:suppressAutoHyphens w:val="0"/>
              <w:rPr>
                <w:rFonts w:cs="Arial"/>
                <w:b/>
                <w:bCs/>
                <w:color w:val="000000"/>
                <w:sz w:val="18"/>
                <w:szCs w:val="18"/>
              </w:rPr>
            </w:pPr>
            <w:r w:rsidRPr="001255E6">
              <w:rPr>
                <w:rFonts w:cs="Arial"/>
                <w:b/>
                <w:bCs/>
                <w:color w:val="000000"/>
                <w:sz w:val="18"/>
                <w:szCs w:val="18"/>
              </w:rPr>
              <w:t>3</w:t>
            </w:r>
          </w:p>
        </w:tc>
        <w:tc>
          <w:tcPr>
            <w:tcW w:w="3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40EFD8B" w14:textId="77777777" w:rsidR="00D95653" w:rsidRPr="001255E6" w:rsidRDefault="00D95653" w:rsidP="00D95653">
            <w:pPr>
              <w:suppressAutoHyphens w:val="0"/>
              <w:rPr>
                <w:rFonts w:cs="Arial"/>
                <w:b/>
                <w:bCs/>
                <w:color w:val="000000"/>
                <w:sz w:val="18"/>
                <w:szCs w:val="18"/>
              </w:rPr>
            </w:pPr>
            <w:r w:rsidRPr="001255E6">
              <w:rPr>
                <w:rFonts w:cs="Arial"/>
                <w:b/>
                <w:bCs/>
                <w:color w:val="000000"/>
                <w:sz w:val="18"/>
                <w:szCs w:val="18"/>
              </w:rPr>
              <w:t>4</w:t>
            </w:r>
          </w:p>
        </w:tc>
        <w:tc>
          <w:tcPr>
            <w:tcW w:w="3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E21B05D" w14:textId="77777777" w:rsidR="00D95653" w:rsidRPr="001255E6" w:rsidRDefault="00D95653" w:rsidP="00D95653">
            <w:pPr>
              <w:suppressAutoHyphens w:val="0"/>
              <w:rPr>
                <w:rFonts w:cs="Arial"/>
                <w:b/>
                <w:bCs/>
                <w:color w:val="000000"/>
                <w:sz w:val="18"/>
                <w:szCs w:val="18"/>
              </w:rPr>
            </w:pPr>
            <w:r w:rsidRPr="001255E6">
              <w:rPr>
                <w:rFonts w:cs="Arial"/>
                <w:b/>
                <w:bCs/>
                <w:color w:val="000000"/>
                <w:sz w:val="18"/>
                <w:szCs w:val="18"/>
              </w:rPr>
              <w:t>1</w:t>
            </w:r>
          </w:p>
        </w:tc>
        <w:tc>
          <w:tcPr>
            <w:tcW w:w="3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D77A4B8" w14:textId="77777777" w:rsidR="00D95653" w:rsidRPr="001255E6" w:rsidRDefault="00D95653" w:rsidP="00D95653">
            <w:pPr>
              <w:suppressAutoHyphens w:val="0"/>
              <w:rPr>
                <w:rFonts w:cs="Arial"/>
                <w:b/>
                <w:bCs/>
                <w:color w:val="000000"/>
                <w:sz w:val="18"/>
                <w:szCs w:val="18"/>
              </w:rPr>
            </w:pPr>
            <w:r w:rsidRPr="001255E6">
              <w:rPr>
                <w:rFonts w:cs="Arial"/>
                <w:b/>
                <w:bCs/>
                <w:color w:val="000000"/>
                <w:sz w:val="18"/>
                <w:szCs w:val="18"/>
              </w:rPr>
              <w:t>2</w:t>
            </w:r>
          </w:p>
        </w:tc>
        <w:tc>
          <w:tcPr>
            <w:tcW w:w="3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1F704E1" w14:textId="77777777" w:rsidR="00D95653" w:rsidRPr="001255E6" w:rsidRDefault="00D95653" w:rsidP="00D95653">
            <w:pPr>
              <w:suppressAutoHyphens w:val="0"/>
              <w:rPr>
                <w:rFonts w:cs="Arial"/>
                <w:b/>
                <w:bCs/>
                <w:color w:val="000000"/>
                <w:sz w:val="18"/>
                <w:szCs w:val="18"/>
              </w:rPr>
            </w:pPr>
            <w:r w:rsidRPr="001255E6">
              <w:rPr>
                <w:rFonts w:cs="Arial"/>
                <w:b/>
                <w:bCs/>
                <w:color w:val="000000"/>
                <w:sz w:val="18"/>
                <w:szCs w:val="18"/>
              </w:rPr>
              <w:t>3</w:t>
            </w:r>
          </w:p>
        </w:tc>
        <w:tc>
          <w:tcPr>
            <w:tcW w:w="3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C830402" w14:textId="77777777" w:rsidR="00D95653" w:rsidRPr="001255E6" w:rsidRDefault="00D95653" w:rsidP="00D95653">
            <w:pPr>
              <w:suppressAutoHyphens w:val="0"/>
              <w:rPr>
                <w:rFonts w:cs="Arial"/>
                <w:b/>
                <w:bCs/>
                <w:color w:val="000000"/>
                <w:sz w:val="18"/>
                <w:szCs w:val="18"/>
              </w:rPr>
            </w:pPr>
            <w:r w:rsidRPr="001255E6">
              <w:rPr>
                <w:rFonts w:cs="Arial"/>
                <w:b/>
                <w:bCs/>
                <w:color w:val="000000"/>
                <w:sz w:val="18"/>
                <w:szCs w:val="18"/>
              </w:rPr>
              <w:t>4</w:t>
            </w:r>
          </w:p>
        </w:tc>
      </w:tr>
      <w:tr w:rsidR="00D95653" w:rsidRPr="001255E6" w14:paraId="7B1C67AF" w14:textId="77777777" w:rsidTr="00D95653">
        <w:trPr>
          <w:trHeight w:val="315"/>
        </w:trPr>
        <w:tc>
          <w:tcPr>
            <w:tcW w:w="3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7825F"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Baseline survey at health networks</w:t>
            </w:r>
          </w:p>
        </w:tc>
        <w:tc>
          <w:tcPr>
            <w:tcW w:w="3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1633C"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 </w:t>
            </w:r>
          </w:p>
        </w:tc>
        <w:tc>
          <w:tcPr>
            <w:tcW w:w="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8BDC7"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 </w:t>
            </w:r>
          </w:p>
        </w:tc>
        <w:tc>
          <w:tcPr>
            <w:tcW w:w="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551FD"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 </w:t>
            </w:r>
          </w:p>
        </w:tc>
        <w:tc>
          <w:tcPr>
            <w:tcW w:w="3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71075"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 </w:t>
            </w:r>
          </w:p>
        </w:tc>
        <w:tc>
          <w:tcPr>
            <w:tcW w:w="317"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251F1F2A"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 </w:t>
            </w:r>
          </w:p>
        </w:tc>
        <w:tc>
          <w:tcPr>
            <w:tcW w:w="317"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35FB4CC0"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 </w:t>
            </w:r>
          </w:p>
        </w:tc>
        <w:tc>
          <w:tcPr>
            <w:tcW w:w="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C27F6"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 </w:t>
            </w:r>
          </w:p>
        </w:tc>
        <w:tc>
          <w:tcPr>
            <w:tcW w:w="3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5C369"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 </w:t>
            </w:r>
          </w:p>
        </w:tc>
        <w:tc>
          <w:tcPr>
            <w:tcW w:w="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67215"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 </w:t>
            </w:r>
          </w:p>
        </w:tc>
        <w:tc>
          <w:tcPr>
            <w:tcW w:w="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3486D"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 </w:t>
            </w:r>
          </w:p>
        </w:tc>
        <w:tc>
          <w:tcPr>
            <w:tcW w:w="3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E4B4C"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 </w:t>
            </w:r>
          </w:p>
        </w:tc>
        <w:tc>
          <w:tcPr>
            <w:tcW w:w="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B8A50"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 </w:t>
            </w:r>
          </w:p>
        </w:tc>
        <w:tc>
          <w:tcPr>
            <w:tcW w:w="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5E186"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 </w:t>
            </w:r>
          </w:p>
        </w:tc>
        <w:tc>
          <w:tcPr>
            <w:tcW w:w="3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9AFF0"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 </w:t>
            </w:r>
          </w:p>
        </w:tc>
        <w:tc>
          <w:tcPr>
            <w:tcW w:w="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F775C"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 </w:t>
            </w:r>
          </w:p>
        </w:tc>
        <w:tc>
          <w:tcPr>
            <w:tcW w:w="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2D0EC"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 </w:t>
            </w:r>
          </w:p>
        </w:tc>
        <w:tc>
          <w:tcPr>
            <w:tcW w:w="3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5D908"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 </w:t>
            </w:r>
          </w:p>
        </w:tc>
        <w:tc>
          <w:tcPr>
            <w:tcW w:w="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3E5F1"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 </w:t>
            </w:r>
          </w:p>
        </w:tc>
        <w:tc>
          <w:tcPr>
            <w:tcW w:w="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926D1"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 </w:t>
            </w:r>
          </w:p>
        </w:tc>
        <w:tc>
          <w:tcPr>
            <w:tcW w:w="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2F8B8"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 </w:t>
            </w:r>
          </w:p>
        </w:tc>
      </w:tr>
      <w:tr w:rsidR="00D95653" w:rsidRPr="001255E6" w14:paraId="14D5BA07" w14:textId="77777777" w:rsidTr="00D95653">
        <w:trPr>
          <w:trHeight w:val="315"/>
        </w:trPr>
        <w:tc>
          <w:tcPr>
            <w:tcW w:w="3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2914C"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Administrative record gathering and analysis (separate consultant)</w:t>
            </w:r>
          </w:p>
        </w:tc>
        <w:tc>
          <w:tcPr>
            <w:tcW w:w="3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CD9AA" w14:textId="77777777" w:rsidR="00D95653" w:rsidRPr="001255E6" w:rsidRDefault="00D95653" w:rsidP="00D95653">
            <w:pPr>
              <w:suppressAutoHyphens w:val="0"/>
              <w:rPr>
                <w:rFonts w:cs="Arial"/>
                <w:color w:val="000000"/>
                <w:sz w:val="18"/>
                <w:szCs w:val="18"/>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72C6C" w14:textId="77777777" w:rsidR="00D95653" w:rsidRPr="001255E6" w:rsidRDefault="00D95653" w:rsidP="00D95653">
            <w:pPr>
              <w:suppressAutoHyphens w:val="0"/>
              <w:rPr>
                <w:rFonts w:cs="Arial"/>
                <w:color w:val="000000"/>
                <w:sz w:val="18"/>
                <w:szCs w:val="18"/>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FE0A8" w14:textId="77777777" w:rsidR="00D95653" w:rsidRPr="001255E6" w:rsidRDefault="00D95653" w:rsidP="00D95653">
            <w:pPr>
              <w:suppressAutoHyphens w:val="0"/>
              <w:rPr>
                <w:rFonts w:cs="Arial"/>
                <w:color w:val="000000"/>
                <w:sz w:val="18"/>
                <w:szCs w:val="18"/>
              </w:rPr>
            </w:pPr>
          </w:p>
        </w:tc>
        <w:tc>
          <w:tcPr>
            <w:tcW w:w="3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A7A6C" w14:textId="77777777" w:rsidR="00D95653" w:rsidRPr="001255E6" w:rsidRDefault="00D95653" w:rsidP="00D95653">
            <w:pPr>
              <w:suppressAutoHyphens w:val="0"/>
              <w:rPr>
                <w:rFonts w:cs="Arial"/>
                <w:color w:val="000000"/>
                <w:sz w:val="18"/>
                <w:szCs w:val="18"/>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788EE" w14:textId="77777777" w:rsidR="00D95653" w:rsidRPr="001255E6" w:rsidRDefault="00D95653" w:rsidP="00D95653">
            <w:pPr>
              <w:suppressAutoHyphens w:val="0"/>
              <w:rPr>
                <w:rFonts w:cs="Arial"/>
                <w:color w:val="000000"/>
                <w:sz w:val="18"/>
                <w:szCs w:val="18"/>
              </w:rPr>
            </w:pPr>
          </w:p>
        </w:tc>
        <w:tc>
          <w:tcPr>
            <w:tcW w:w="317" w:type="dxa"/>
            <w:tcBorders>
              <w:top w:val="single" w:sz="4" w:space="0" w:color="000000"/>
              <w:left w:val="single" w:sz="4" w:space="0" w:color="000000"/>
              <w:bottom w:val="single" w:sz="4" w:space="0" w:color="000000"/>
              <w:right w:val="single" w:sz="4" w:space="0" w:color="000000"/>
            </w:tcBorders>
            <w:shd w:val="clear" w:color="auto" w:fill="4F81BD" w:themeFill="accent1"/>
            <w:vAlign w:val="center"/>
          </w:tcPr>
          <w:p w14:paraId="6E6CEA80" w14:textId="77777777" w:rsidR="00D95653" w:rsidRPr="001255E6" w:rsidRDefault="00D95653" w:rsidP="00D95653">
            <w:pPr>
              <w:suppressAutoHyphens w:val="0"/>
              <w:rPr>
                <w:rFonts w:cs="Arial"/>
                <w:color w:val="000000"/>
                <w:sz w:val="18"/>
                <w:szCs w:val="18"/>
              </w:rPr>
            </w:pPr>
          </w:p>
        </w:tc>
        <w:tc>
          <w:tcPr>
            <w:tcW w:w="317"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636D1ABF" w14:textId="77777777" w:rsidR="00D95653" w:rsidRPr="001255E6" w:rsidRDefault="00D95653" w:rsidP="00D95653">
            <w:pPr>
              <w:suppressAutoHyphens w:val="0"/>
              <w:rPr>
                <w:rFonts w:cs="Arial"/>
                <w:color w:val="000000"/>
                <w:sz w:val="18"/>
                <w:szCs w:val="18"/>
              </w:rPr>
            </w:pPr>
          </w:p>
        </w:tc>
        <w:tc>
          <w:tcPr>
            <w:tcW w:w="3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A8011A" w14:textId="77777777" w:rsidR="00D95653" w:rsidRPr="001255E6" w:rsidRDefault="00D95653" w:rsidP="00D95653">
            <w:pPr>
              <w:suppressAutoHyphens w:val="0"/>
              <w:rPr>
                <w:rFonts w:cs="Arial"/>
                <w:color w:val="000000"/>
                <w:sz w:val="18"/>
                <w:szCs w:val="18"/>
              </w:rPr>
            </w:pPr>
          </w:p>
        </w:tc>
        <w:tc>
          <w:tcPr>
            <w:tcW w:w="317"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273F3BFB" w14:textId="77777777" w:rsidR="00D95653" w:rsidRPr="001255E6" w:rsidRDefault="00D95653" w:rsidP="00D95653">
            <w:pPr>
              <w:suppressAutoHyphens w:val="0"/>
              <w:rPr>
                <w:rFonts w:cs="Arial"/>
                <w:color w:val="000000"/>
                <w:sz w:val="18"/>
                <w:szCs w:val="18"/>
              </w:rPr>
            </w:pPr>
          </w:p>
        </w:tc>
        <w:tc>
          <w:tcPr>
            <w:tcW w:w="3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FECD7A3" w14:textId="77777777" w:rsidR="00D95653" w:rsidRPr="001255E6" w:rsidRDefault="00D95653" w:rsidP="00D95653">
            <w:pPr>
              <w:suppressAutoHyphens w:val="0"/>
              <w:rPr>
                <w:rFonts w:cs="Arial"/>
                <w:color w:val="000000"/>
                <w:sz w:val="18"/>
                <w:szCs w:val="18"/>
              </w:rPr>
            </w:pPr>
          </w:p>
        </w:tc>
        <w:tc>
          <w:tcPr>
            <w:tcW w:w="319"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7C195EAE" w14:textId="77777777" w:rsidR="00D95653" w:rsidRPr="001255E6" w:rsidRDefault="00D95653" w:rsidP="00D95653">
            <w:pPr>
              <w:suppressAutoHyphens w:val="0"/>
              <w:rPr>
                <w:rFonts w:cs="Arial"/>
                <w:color w:val="000000"/>
                <w:sz w:val="18"/>
                <w:szCs w:val="18"/>
              </w:rPr>
            </w:pPr>
          </w:p>
        </w:tc>
        <w:tc>
          <w:tcPr>
            <w:tcW w:w="3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4522A93" w14:textId="77777777" w:rsidR="00D95653" w:rsidRPr="001255E6" w:rsidRDefault="00D95653" w:rsidP="00D95653">
            <w:pPr>
              <w:suppressAutoHyphens w:val="0"/>
              <w:rPr>
                <w:rFonts w:cs="Arial"/>
                <w:color w:val="000000"/>
                <w:sz w:val="18"/>
                <w:szCs w:val="18"/>
              </w:rPr>
            </w:pPr>
          </w:p>
        </w:tc>
        <w:tc>
          <w:tcPr>
            <w:tcW w:w="317" w:type="dxa"/>
            <w:tcBorders>
              <w:top w:val="single" w:sz="4" w:space="0" w:color="000000"/>
              <w:left w:val="single" w:sz="4" w:space="0" w:color="000000"/>
              <w:bottom w:val="single" w:sz="4" w:space="0" w:color="000000"/>
              <w:right w:val="single" w:sz="4" w:space="0" w:color="000000"/>
            </w:tcBorders>
            <w:shd w:val="clear" w:color="auto" w:fill="4F81BD" w:themeFill="accent1"/>
            <w:vAlign w:val="center"/>
          </w:tcPr>
          <w:p w14:paraId="0F3842DD" w14:textId="77777777" w:rsidR="00D95653" w:rsidRPr="001255E6" w:rsidRDefault="00D95653" w:rsidP="00D95653">
            <w:pPr>
              <w:suppressAutoHyphens w:val="0"/>
              <w:rPr>
                <w:rFonts w:cs="Arial"/>
                <w:color w:val="000000"/>
                <w:sz w:val="18"/>
                <w:szCs w:val="18"/>
              </w:rPr>
            </w:pPr>
          </w:p>
        </w:tc>
        <w:tc>
          <w:tcPr>
            <w:tcW w:w="3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9DCB1" w14:textId="77777777" w:rsidR="00D95653" w:rsidRPr="001255E6" w:rsidRDefault="00D95653" w:rsidP="00D95653">
            <w:pPr>
              <w:suppressAutoHyphens w:val="0"/>
              <w:rPr>
                <w:rFonts w:cs="Arial"/>
                <w:color w:val="000000"/>
                <w:sz w:val="18"/>
                <w:szCs w:val="18"/>
              </w:rPr>
            </w:pPr>
          </w:p>
        </w:tc>
        <w:tc>
          <w:tcPr>
            <w:tcW w:w="317" w:type="dxa"/>
            <w:tcBorders>
              <w:top w:val="single" w:sz="4" w:space="0" w:color="000000"/>
              <w:left w:val="single" w:sz="4" w:space="0" w:color="000000"/>
              <w:bottom w:val="single" w:sz="4" w:space="0" w:color="000000"/>
              <w:right w:val="single" w:sz="4" w:space="0" w:color="000000"/>
            </w:tcBorders>
            <w:shd w:val="clear" w:color="auto" w:fill="4F81BD" w:themeFill="accent1"/>
            <w:vAlign w:val="center"/>
          </w:tcPr>
          <w:p w14:paraId="04446C4A" w14:textId="77777777" w:rsidR="00D95653" w:rsidRPr="001255E6" w:rsidRDefault="00D95653" w:rsidP="00D95653">
            <w:pPr>
              <w:suppressAutoHyphens w:val="0"/>
              <w:rPr>
                <w:rFonts w:cs="Arial"/>
                <w:color w:val="000000"/>
                <w:sz w:val="18"/>
                <w:szCs w:val="18"/>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AFB45" w14:textId="77777777" w:rsidR="00D95653" w:rsidRPr="001255E6" w:rsidRDefault="00D95653" w:rsidP="00D95653">
            <w:pPr>
              <w:suppressAutoHyphens w:val="0"/>
              <w:rPr>
                <w:rFonts w:cs="Arial"/>
                <w:color w:val="000000"/>
                <w:sz w:val="18"/>
                <w:szCs w:val="18"/>
              </w:rPr>
            </w:pPr>
          </w:p>
        </w:tc>
        <w:tc>
          <w:tcPr>
            <w:tcW w:w="318" w:type="dxa"/>
            <w:tcBorders>
              <w:top w:val="single" w:sz="4" w:space="0" w:color="000000"/>
              <w:left w:val="single" w:sz="4" w:space="0" w:color="000000"/>
              <w:bottom w:val="single" w:sz="4" w:space="0" w:color="000000"/>
              <w:right w:val="single" w:sz="4" w:space="0" w:color="000000"/>
            </w:tcBorders>
            <w:shd w:val="clear" w:color="auto" w:fill="4F81BD" w:themeFill="accent1"/>
            <w:vAlign w:val="center"/>
          </w:tcPr>
          <w:p w14:paraId="6A865C3B" w14:textId="77777777" w:rsidR="00D95653" w:rsidRPr="001255E6" w:rsidRDefault="00D95653" w:rsidP="00D95653">
            <w:pPr>
              <w:suppressAutoHyphens w:val="0"/>
              <w:rPr>
                <w:rFonts w:cs="Arial"/>
                <w:color w:val="000000"/>
                <w:sz w:val="18"/>
                <w:szCs w:val="18"/>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D3F4A" w14:textId="77777777" w:rsidR="00D95653" w:rsidRPr="001255E6" w:rsidRDefault="00D95653" w:rsidP="00D95653">
            <w:pPr>
              <w:suppressAutoHyphens w:val="0"/>
              <w:rPr>
                <w:rFonts w:cs="Arial"/>
                <w:color w:val="000000"/>
                <w:sz w:val="18"/>
                <w:szCs w:val="18"/>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1DD64" w14:textId="77777777" w:rsidR="00D95653" w:rsidRPr="001255E6" w:rsidRDefault="00D95653" w:rsidP="00D95653">
            <w:pPr>
              <w:suppressAutoHyphens w:val="0"/>
              <w:rPr>
                <w:rFonts w:cs="Arial"/>
                <w:color w:val="000000"/>
                <w:sz w:val="18"/>
                <w:szCs w:val="18"/>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70132" w14:textId="77777777" w:rsidR="00D95653" w:rsidRPr="001255E6" w:rsidRDefault="00D95653" w:rsidP="00D95653">
            <w:pPr>
              <w:suppressAutoHyphens w:val="0"/>
              <w:rPr>
                <w:rFonts w:cs="Arial"/>
                <w:color w:val="000000"/>
                <w:sz w:val="18"/>
                <w:szCs w:val="18"/>
              </w:rPr>
            </w:pPr>
          </w:p>
        </w:tc>
      </w:tr>
      <w:tr w:rsidR="00D95653" w:rsidRPr="001255E6" w14:paraId="19234A6D" w14:textId="77777777" w:rsidTr="00D95653">
        <w:trPr>
          <w:trHeight w:val="315"/>
        </w:trPr>
        <w:tc>
          <w:tcPr>
            <w:tcW w:w="3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E505E" w14:textId="3ED22CCF" w:rsidR="00D95653" w:rsidRPr="001255E6" w:rsidRDefault="00D95653" w:rsidP="00D95653">
            <w:pPr>
              <w:suppressAutoHyphens w:val="0"/>
              <w:jc w:val="left"/>
              <w:rPr>
                <w:rFonts w:cs="Arial"/>
                <w:color w:val="000000"/>
                <w:sz w:val="18"/>
                <w:szCs w:val="18"/>
              </w:rPr>
            </w:pPr>
            <w:r w:rsidRPr="001255E6">
              <w:rPr>
                <w:rFonts w:cs="Arial"/>
                <w:color w:val="000000"/>
                <w:sz w:val="18"/>
                <w:szCs w:val="18"/>
              </w:rPr>
              <w:t xml:space="preserve">Mid-term/ Interim </w:t>
            </w:r>
            <w:r w:rsidR="00424B33" w:rsidRPr="001255E6">
              <w:rPr>
                <w:rFonts w:cs="Arial"/>
                <w:color w:val="000000"/>
                <w:sz w:val="18"/>
                <w:szCs w:val="18"/>
              </w:rPr>
              <w:t>Impact Evaluation</w:t>
            </w:r>
            <w:r w:rsidRPr="001255E6">
              <w:rPr>
                <w:rFonts w:cs="Arial"/>
                <w:color w:val="000000"/>
                <w:sz w:val="18"/>
                <w:szCs w:val="18"/>
              </w:rPr>
              <w:t xml:space="preserve"> (To be determined on 50% of the project implementation)</w:t>
            </w:r>
          </w:p>
        </w:tc>
        <w:tc>
          <w:tcPr>
            <w:tcW w:w="3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E1E55" w14:textId="77777777" w:rsidR="00D95653" w:rsidRPr="001255E6" w:rsidRDefault="00D95653" w:rsidP="00D95653">
            <w:pPr>
              <w:suppressAutoHyphens w:val="0"/>
              <w:rPr>
                <w:rFonts w:cs="Arial"/>
                <w:color w:val="000000"/>
                <w:sz w:val="18"/>
                <w:szCs w:val="18"/>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E8A34" w14:textId="77777777" w:rsidR="00D95653" w:rsidRPr="001255E6" w:rsidRDefault="00D95653" w:rsidP="00D95653">
            <w:pPr>
              <w:suppressAutoHyphens w:val="0"/>
              <w:rPr>
                <w:rFonts w:cs="Arial"/>
                <w:color w:val="000000"/>
                <w:sz w:val="18"/>
                <w:szCs w:val="18"/>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8D93D" w14:textId="77777777" w:rsidR="00D95653" w:rsidRPr="001255E6" w:rsidRDefault="00D95653" w:rsidP="00D95653">
            <w:pPr>
              <w:suppressAutoHyphens w:val="0"/>
              <w:rPr>
                <w:rFonts w:cs="Arial"/>
                <w:color w:val="000000"/>
                <w:sz w:val="18"/>
                <w:szCs w:val="18"/>
              </w:rPr>
            </w:pPr>
          </w:p>
        </w:tc>
        <w:tc>
          <w:tcPr>
            <w:tcW w:w="3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2C5A9" w14:textId="77777777" w:rsidR="00D95653" w:rsidRPr="001255E6" w:rsidRDefault="00D95653" w:rsidP="00D95653">
            <w:pPr>
              <w:suppressAutoHyphens w:val="0"/>
              <w:rPr>
                <w:rFonts w:cs="Arial"/>
                <w:color w:val="000000"/>
                <w:sz w:val="18"/>
                <w:szCs w:val="18"/>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5CFB1" w14:textId="77777777" w:rsidR="00D95653" w:rsidRPr="001255E6" w:rsidRDefault="00D95653" w:rsidP="00D95653">
            <w:pPr>
              <w:suppressAutoHyphens w:val="0"/>
              <w:rPr>
                <w:rFonts w:cs="Arial"/>
                <w:color w:val="000000"/>
                <w:sz w:val="18"/>
                <w:szCs w:val="18"/>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D9756" w14:textId="77777777" w:rsidR="00D95653" w:rsidRPr="001255E6" w:rsidRDefault="00D95653" w:rsidP="00D95653">
            <w:pPr>
              <w:suppressAutoHyphens w:val="0"/>
              <w:rPr>
                <w:rFonts w:cs="Arial"/>
                <w:color w:val="000000"/>
                <w:sz w:val="18"/>
                <w:szCs w:val="18"/>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39682" w14:textId="77777777" w:rsidR="00D95653" w:rsidRPr="001255E6" w:rsidRDefault="00D95653" w:rsidP="00D95653">
            <w:pPr>
              <w:suppressAutoHyphens w:val="0"/>
              <w:rPr>
                <w:rFonts w:cs="Arial"/>
                <w:color w:val="000000"/>
                <w:sz w:val="18"/>
                <w:szCs w:val="18"/>
              </w:rPr>
            </w:pPr>
          </w:p>
        </w:tc>
        <w:tc>
          <w:tcPr>
            <w:tcW w:w="3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1D204" w14:textId="77777777" w:rsidR="00D95653" w:rsidRPr="001255E6" w:rsidRDefault="00D95653" w:rsidP="00D95653">
            <w:pPr>
              <w:suppressAutoHyphens w:val="0"/>
              <w:rPr>
                <w:rFonts w:cs="Arial"/>
                <w:color w:val="000000"/>
                <w:sz w:val="18"/>
                <w:szCs w:val="18"/>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2C6A9" w14:textId="77777777" w:rsidR="00D95653" w:rsidRPr="001255E6" w:rsidRDefault="00D95653" w:rsidP="00D95653">
            <w:pPr>
              <w:suppressAutoHyphens w:val="0"/>
              <w:rPr>
                <w:rFonts w:cs="Arial"/>
                <w:color w:val="000000"/>
                <w:sz w:val="18"/>
                <w:szCs w:val="18"/>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C07C1" w14:textId="77777777" w:rsidR="00D95653" w:rsidRPr="001255E6" w:rsidRDefault="00D95653" w:rsidP="00D95653">
            <w:pPr>
              <w:suppressAutoHyphens w:val="0"/>
              <w:rPr>
                <w:rFonts w:cs="Arial"/>
                <w:color w:val="000000"/>
                <w:sz w:val="18"/>
                <w:szCs w:val="18"/>
              </w:rPr>
            </w:pPr>
          </w:p>
        </w:tc>
        <w:tc>
          <w:tcPr>
            <w:tcW w:w="3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24018" w14:textId="77777777" w:rsidR="00D95653" w:rsidRPr="001255E6" w:rsidRDefault="00D95653" w:rsidP="00D95653">
            <w:pPr>
              <w:suppressAutoHyphens w:val="0"/>
              <w:rPr>
                <w:rFonts w:cs="Arial"/>
                <w:color w:val="000000"/>
                <w:sz w:val="18"/>
                <w:szCs w:val="18"/>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1AF6A" w14:textId="77777777" w:rsidR="00D95653" w:rsidRPr="001255E6" w:rsidRDefault="00D95653" w:rsidP="00D95653">
            <w:pPr>
              <w:suppressAutoHyphens w:val="0"/>
              <w:rPr>
                <w:rFonts w:cs="Arial"/>
                <w:color w:val="000000"/>
                <w:sz w:val="18"/>
                <w:szCs w:val="18"/>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32F0E" w14:textId="77777777" w:rsidR="00D95653" w:rsidRPr="001255E6" w:rsidRDefault="00D95653" w:rsidP="00D95653">
            <w:pPr>
              <w:suppressAutoHyphens w:val="0"/>
              <w:rPr>
                <w:rFonts w:cs="Arial"/>
                <w:color w:val="000000"/>
                <w:sz w:val="18"/>
                <w:szCs w:val="18"/>
              </w:rPr>
            </w:pPr>
          </w:p>
        </w:tc>
        <w:tc>
          <w:tcPr>
            <w:tcW w:w="3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0F2BF" w14:textId="77777777" w:rsidR="00D95653" w:rsidRPr="001255E6" w:rsidRDefault="00D95653" w:rsidP="00D95653">
            <w:pPr>
              <w:suppressAutoHyphens w:val="0"/>
              <w:rPr>
                <w:rFonts w:cs="Arial"/>
                <w:color w:val="000000"/>
                <w:sz w:val="18"/>
                <w:szCs w:val="18"/>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D47E0" w14:textId="77777777" w:rsidR="00D95653" w:rsidRPr="001255E6" w:rsidRDefault="00D95653" w:rsidP="00D95653">
            <w:pPr>
              <w:suppressAutoHyphens w:val="0"/>
              <w:rPr>
                <w:rFonts w:cs="Arial"/>
                <w:color w:val="000000"/>
                <w:sz w:val="18"/>
                <w:szCs w:val="18"/>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B48F2" w14:textId="77777777" w:rsidR="00D95653" w:rsidRPr="001255E6" w:rsidRDefault="00D95653" w:rsidP="00D95653">
            <w:pPr>
              <w:suppressAutoHyphens w:val="0"/>
              <w:rPr>
                <w:rFonts w:cs="Arial"/>
                <w:color w:val="000000"/>
                <w:sz w:val="18"/>
                <w:szCs w:val="18"/>
              </w:rPr>
            </w:pPr>
          </w:p>
        </w:tc>
        <w:tc>
          <w:tcPr>
            <w:tcW w:w="3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A4D51" w14:textId="77777777" w:rsidR="00D95653" w:rsidRPr="001255E6" w:rsidRDefault="00D95653" w:rsidP="00D95653">
            <w:pPr>
              <w:suppressAutoHyphens w:val="0"/>
              <w:rPr>
                <w:rFonts w:cs="Arial"/>
                <w:color w:val="000000"/>
                <w:sz w:val="18"/>
                <w:szCs w:val="18"/>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521BA" w14:textId="77777777" w:rsidR="00D95653" w:rsidRPr="001255E6" w:rsidRDefault="00D95653" w:rsidP="00D95653">
            <w:pPr>
              <w:suppressAutoHyphens w:val="0"/>
              <w:rPr>
                <w:rFonts w:cs="Arial"/>
                <w:color w:val="000000"/>
                <w:sz w:val="18"/>
                <w:szCs w:val="18"/>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B9571" w14:textId="77777777" w:rsidR="00D95653" w:rsidRPr="001255E6" w:rsidRDefault="00D95653" w:rsidP="00D95653">
            <w:pPr>
              <w:suppressAutoHyphens w:val="0"/>
              <w:rPr>
                <w:rFonts w:cs="Arial"/>
                <w:color w:val="000000"/>
                <w:sz w:val="18"/>
                <w:szCs w:val="18"/>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0E4B8" w14:textId="77777777" w:rsidR="00D95653" w:rsidRPr="001255E6" w:rsidRDefault="00D95653" w:rsidP="00D95653">
            <w:pPr>
              <w:suppressAutoHyphens w:val="0"/>
              <w:rPr>
                <w:rFonts w:cs="Arial"/>
                <w:color w:val="000000"/>
                <w:sz w:val="18"/>
                <w:szCs w:val="18"/>
              </w:rPr>
            </w:pPr>
          </w:p>
        </w:tc>
      </w:tr>
      <w:tr w:rsidR="00D95653" w:rsidRPr="001255E6" w14:paraId="60A1A1EA" w14:textId="77777777" w:rsidTr="00D95653">
        <w:trPr>
          <w:trHeight w:val="315"/>
        </w:trPr>
        <w:tc>
          <w:tcPr>
            <w:tcW w:w="3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AFA81" w14:textId="0D3DF37C" w:rsidR="00D95653" w:rsidRPr="001255E6" w:rsidRDefault="00D95653" w:rsidP="00D95653">
            <w:pPr>
              <w:suppressAutoHyphens w:val="0"/>
              <w:rPr>
                <w:rFonts w:cs="Arial"/>
                <w:color w:val="000000"/>
                <w:sz w:val="18"/>
                <w:szCs w:val="18"/>
              </w:rPr>
            </w:pPr>
            <w:r w:rsidRPr="001255E6">
              <w:rPr>
                <w:rFonts w:cs="Arial"/>
                <w:color w:val="000000"/>
                <w:sz w:val="18"/>
                <w:szCs w:val="18"/>
              </w:rPr>
              <w:t>End line Surveys at health networks</w:t>
            </w:r>
          </w:p>
        </w:tc>
        <w:tc>
          <w:tcPr>
            <w:tcW w:w="3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92EEF"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 </w:t>
            </w:r>
          </w:p>
        </w:tc>
        <w:tc>
          <w:tcPr>
            <w:tcW w:w="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A5B44"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 </w:t>
            </w:r>
          </w:p>
        </w:tc>
        <w:tc>
          <w:tcPr>
            <w:tcW w:w="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C34BF"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 </w:t>
            </w:r>
          </w:p>
        </w:tc>
        <w:tc>
          <w:tcPr>
            <w:tcW w:w="3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02C60"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 </w:t>
            </w:r>
          </w:p>
        </w:tc>
        <w:tc>
          <w:tcPr>
            <w:tcW w:w="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32011"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 </w:t>
            </w:r>
          </w:p>
        </w:tc>
        <w:tc>
          <w:tcPr>
            <w:tcW w:w="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1E0B4"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 </w:t>
            </w:r>
          </w:p>
        </w:tc>
        <w:tc>
          <w:tcPr>
            <w:tcW w:w="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61987"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 </w:t>
            </w:r>
          </w:p>
        </w:tc>
        <w:tc>
          <w:tcPr>
            <w:tcW w:w="3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E3C76"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 </w:t>
            </w:r>
          </w:p>
        </w:tc>
        <w:tc>
          <w:tcPr>
            <w:tcW w:w="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274B3"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 </w:t>
            </w:r>
          </w:p>
        </w:tc>
        <w:tc>
          <w:tcPr>
            <w:tcW w:w="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3DE5B"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 </w:t>
            </w:r>
          </w:p>
        </w:tc>
        <w:tc>
          <w:tcPr>
            <w:tcW w:w="3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60F0B"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 </w:t>
            </w:r>
          </w:p>
        </w:tc>
        <w:tc>
          <w:tcPr>
            <w:tcW w:w="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BE580"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 </w:t>
            </w:r>
          </w:p>
        </w:tc>
        <w:tc>
          <w:tcPr>
            <w:tcW w:w="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0246F"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 </w:t>
            </w:r>
          </w:p>
        </w:tc>
        <w:tc>
          <w:tcPr>
            <w:tcW w:w="3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2945C"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 </w:t>
            </w:r>
          </w:p>
        </w:tc>
        <w:tc>
          <w:tcPr>
            <w:tcW w:w="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265AF"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 </w:t>
            </w:r>
          </w:p>
        </w:tc>
        <w:tc>
          <w:tcPr>
            <w:tcW w:w="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3E9BA"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 </w:t>
            </w:r>
          </w:p>
        </w:tc>
        <w:tc>
          <w:tcPr>
            <w:tcW w:w="318" w:type="dxa"/>
            <w:tcBorders>
              <w:top w:val="single" w:sz="4" w:space="0" w:color="000000"/>
              <w:left w:val="single" w:sz="4" w:space="0" w:color="000000"/>
              <w:bottom w:val="single" w:sz="4" w:space="0" w:color="000000"/>
              <w:right w:val="single" w:sz="4" w:space="0" w:color="000000"/>
            </w:tcBorders>
            <w:shd w:val="clear" w:color="auto" w:fill="4F81BD" w:themeFill="accent1"/>
            <w:vAlign w:val="center"/>
          </w:tcPr>
          <w:p w14:paraId="521A67D9"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 </w:t>
            </w:r>
          </w:p>
        </w:tc>
        <w:tc>
          <w:tcPr>
            <w:tcW w:w="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EE385"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 </w:t>
            </w:r>
          </w:p>
        </w:tc>
        <w:tc>
          <w:tcPr>
            <w:tcW w:w="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B508B"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 </w:t>
            </w:r>
          </w:p>
        </w:tc>
        <w:tc>
          <w:tcPr>
            <w:tcW w:w="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D9533"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 </w:t>
            </w:r>
          </w:p>
        </w:tc>
      </w:tr>
      <w:tr w:rsidR="00D95653" w:rsidRPr="001255E6" w14:paraId="383D71D5" w14:textId="77777777" w:rsidTr="00D95653">
        <w:trPr>
          <w:trHeight w:val="315"/>
        </w:trPr>
        <w:tc>
          <w:tcPr>
            <w:tcW w:w="3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D666D"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Impact analysis</w:t>
            </w:r>
          </w:p>
        </w:tc>
        <w:tc>
          <w:tcPr>
            <w:tcW w:w="3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F23F5"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 </w:t>
            </w:r>
          </w:p>
        </w:tc>
        <w:tc>
          <w:tcPr>
            <w:tcW w:w="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36F55"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 </w:t>
            </w:r>
          </w:p>
        </w:tc>
        <w:tc>
          <w:tcPr>
            <w:tcW w:w="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2D6FC"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 </w:t>
            </w:r>
          </w:p>
        </w:tc>
        <w:tc>
          <w:tcPr>
            <w:tcW w:w="3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E69D9"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 </w:t>
            </w:r>
          </w:p>
        </w:tc>
        <w:tc>
          <w:tcPr>
            <w:tcW w:w="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F7DAC"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 </w:t>
            </w:r>
          </w:p>
        </w:tc>
        <w:tc>
          <w:tcPr>
            <w:tcW w:w="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53980"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 </w:t>
            </w:r>
          </w:p>
        </w:tc>
        <w:tc>
          <w:tcPr>
            <w:tcW w:w="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BD3D2"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 </w:t>
            </w:r>
          </w:p>
        </w:tc>
        <w:tc>
          <w:tcPr>
            <w:tcW w:w="3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9DD7A"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 </w:t>
            </w:r>
          </w:p>
        </w:tc>
        <w:tc>
          <w:tcPr>
            <w:tcW w:w="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28862"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 </w:t>
            </w:r>
          </w:p>
        </w:tc>
        <w:tc>
          <w:tcPr>
            <w:tcW w:w="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6E320"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 </w:t>
            </w:r>
          </w:p>
        </w:tc>
        <w:tc>
          <w:tcPr>
            <w:tcW w:w="3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4466D"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 </w:t>
            </w:r>
          </w:p>
        </w:tc>
        <w:tc>
          <w:tcPr>
            <w:tcW w:w="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E8A8D"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 </w:t>
            </w:r>
          </w:p>
        </w:tc>
        <w:tc>
          <w:tcPr>
            <w:tcW w:w="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643F4"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 </w:t>
            </w:r>
          </w:p>
        </w:tc>
        <w:tc>
          <w:tcPr>
            <w:tcW w:w="3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99D83"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 </w:t>
            </w:r>
          </w:p>
        </w:tc>
        <w:tc>
          <w:tcPr>
            <w:tcW w:w="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C9B6E"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 </w:t>
            </w:r>
          </w:p>
        </w:tc>
        <w:tc>
          <w:tcPr>
            <w:tcW w:w="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3C564"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 </w:t>
            </w:r>
          </w:p>
        </w:tc>
        <w:tc>
          <w:tcPr>
            <w:tcW w:w="318" w:type="dxa"/>
            <w:tcBorders>
              <w:top w:val="single" w:sz="4" w:space="0" w:color="000000"/>
              <w:left w:val="single" w:sz="4" w:space="0" w:color="000000"/>
              <w:bottom w:val="single" w:sz="4" w:space="0" w:color="000000"/>
              <w:right w:val="single" w:sz="4" w:space="0" w:color="000000"/>
            </w:tcBorders>
            <w:shd w:val="clear" w:color="auto" w:fill="4F81BD" w:themeFill="accent1"/>
            <w:vAlign w:val="center"/>
          </w:tcPr>
          <w:p w14:paraId="28D8860A"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 </w:t>
            </w:r>
          </w:p>
        </w:tc>
        <w:tc>
          <w:tcPr>
            <w:tcW w:w="317" w:type="dxa"/>
            <w:tcBorders>
              <w:top w:val="single" w:sz="4" w:space="0" w:color="000000"/>
              <w:left w:val="single" w:sz="4" w:space="0" w:color="000000"/>
              <w:bottom w:val="single" w:sz="4" w:space="0" w:color="000000"/>
              <w:right w:val="single" w:sz="4" w:space="0" w:color="000000"/>
            </w:tcBorders>
            <w:shd w:val="clear" w:color="auto" w:fill="4F81BD" w:themeFill="accent1"/>
            <w:vAlign w:val="center"/>
          </w:tcPr>
          <w:p w14:paraId="159AF903"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 </w:t>
            </w:r>
          </w:p>
        </w:tc>
        <w:tc>
          <w:tcPr>
            <w:tcW w:w="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FB796"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 </w:t>
            </w:r>
          </w:p>
        </w:tc>
        <w:tc>
          <w:tcPr>
            <w:tcW w:w="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2EAFC"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 </w:t>
            </w:r>
          </w:p>
        </w:tc>
      </w:tr>
      <w:tr w:rsidR="00D95653" w:rsidRPr="001255E6" w14:paraId="227D5A0F" w14:textId="77777777" w:rsidTr="00D95653">
        <w:trPr>
          <w:trHeight w:val="315"/>
        </w:trPr>
        <w:tc>
          <w:tcPr>
            <w:tcW w:w="3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4B945" w14:textId="1E37CC91" w:rsidR="00D95653" w:rsidRPr="001255E6" w:rsidRDefault="00D95653" w:rsidP="00D95653">
            <w:pPr>
              <w:suppressAutoHyphens w:val="0"/>
              <w:rPr>
                <w:rFonts w:cs="Arial"/>
                <w:color w:val="000000"/>
                <w:sz w:val="18"/>
                <w:szCs w:val="18"/>
              </w:rPr>
            </w:pPr>
            <w:r w:rsidRPr="001255E6">
              <w:rPr>
                <w:rFonts w:cs="Arial"/>
                <w:color w:val="000000"/>
                <w:sz w:val="18"/>
                <w:szCs w:val="18"/>
              </w:rPr>
              <w:t>Results dissemination and publication</w:t>
            </w:r>
          </w:p>
        </w:tc>
        <w:tc>
          <w:tcPr>
            <w:tcW w:w="3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44B14"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 </w:t>
            </w:r>
          </w:p>
        </w:tc>
        <w:tc>
          <w:tcPr>
            <w:tcW w:w="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13541"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 </w:t>
            </w:r>
          </w:p>
        </w:tc>
        <w:tc>
          <w:tcPr>
            <w:tcW w:w="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4C32B"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 </w:t>
            </w:r>
          </w:p>
        </w:tc>
        <w:tc>
          <w:tcPr>
            <w:tcW w:w="3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0508B"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 </w:t>
            </w:r>
          </w:p>
        </w:tc>
        <w:tc>
          <w:tcPr>
            <w:tcW w:w="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EAB28"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 </w:t>
            </w:r>
          </w:p>
        </w:tc>
        <w:tc>
          <w:tcPr>
            <w:tcW w:w="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8DC06"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 </w:t>
            </w:r>
          </w:p>
        </w:tc>
        <w:tc>
          <w:tcPr>
            <w:tcW w:w="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D9864"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 </w:t>
            </w:r>
          </w:p>
        </w:tc>
        <w:tc>
          <w:tcPr>
            <w:tcW w:w="3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BEF60"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 </w:t>
            </w:r>
          </w:p>
        </w:tc>
        <w:tc>
          <w:tcPr>
            <w:tcW w:w="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AEE72"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 </w:t>
            </w:r>
          </w:p>
        </w:tc>
        <w:tc>
          <w:tcPr>
            <w:tcW w:w="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A6A93"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 </w:t>
            </w:r>
          </w:p>
        </w:tc>
        <w:tc>
          <w:tcPr>
            <w:tcW w:w="3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7571A"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 </w:t>
            </w:r>
          </w:p>
        </w:tc>
        <w:tc>
          <w:tcPr>
            <w:tcW w:w="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56826"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 </w:t>
            </w:r>
          </w:p>
        </w:tc>
        <w:tc>
          <w:tcPr>
            <w:tcW w:w="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93C45"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 </w:t>
            </w:r>
          </w:p>
        </w:tc>
        <w:tc>
          <w:tcPr>
            <w:tcW w:w="3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9DAF7"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 </w:t>
            </w:r>
          </w:p>
        </w:tc>
        <w:tc>
          <w:tcPr>
            <w:tcW w:w="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1FC8A"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 </w:t>
            </w:r>
          </w:p>
        </w:tc>
        <w:tc>
          <w:tcPr>
            <w:tcW w:w="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2068F"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 </w:t>
            </w:r>
          </w:p>
        </w:tc>
        <w:tc>
          <w:tcPr>
            <w:tcW w:w="3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28046"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 </w:t>
            </w:r>
          </w:p>
        </w:tc>
        <w:tc>
          <w:tcPr>
            <w:tcW w:w="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005F4"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 </w:t>
            </w:r>
          </w:p>
        </w:tc>
        <w:tc>
          <w:tcPr>
            <w:tcW w:w="317" w:type="dxa"/>
            <w:tcBorders>
              <w:top w:val="single" w:sz="4" w:space="0" w:color="000000"/>
              <w:left w:val="single" w:sz="4" w:space="0" w:color="000000"/>
              <w:bottom w:val="single" w:sz="4" w:space="0" w:color="000000"/>
              <w:right w:val="single" w:sz="4" w:space="0" w:color="000000"/>
            </w:tcBorders>
            <w:shd w:val="clear" w:color="auto" w:fill="4F81BD" w:themeFill="accent1"/>
            <w:vAlign w:val="center"/>
          </w:tcPr>
          <w:p w14:paraId="02F11352"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 </w:t>
            </w:r>
          </w:p>
        </w:tc>
        <w:tc>
          <w:tcPr>
            <w:tcW w:w="317" w:type="dxa"/>
            <w:tcBorders>
              <w:top w:val="single" w:sz="4" w:space="0" w:color="000000"/>
              <w:left w:val="single" w:sz="4" w:space="0" w:color="000000"/>
              <w:bottom w:val="single" w:sz="4" w:space="0" w:color="000000"/>
              <w:right w:val="single" w:sz="4" w:space="0" w:color="000000"/>
            </w:tcBorders>
            <w:shd w:val="clear" w:color="auto" w:fill="4F81BD" w:themeFill="accent1"/>
            <w:vAlign w:val="center"/>
          </w:tcPr>
          <w:p w14:paraId="757EF4AC" w14:textId="77777777" w:rsidR="00D95653" w:rsidRPr="001255E6" w:rsidRDefault="00D95653" w:rsidP="00D95653">
            <w:pPr>
              <w:suppressAutoHyphens w:val="0"/>
              <w:rPr>
                <w:rFonts w:cs="Arial"/>
                <w:color w:val="000000"/>
                <w:sz w:val="18"/>
                <w:szCs w:val="18"/>
              </w:rPr>
            </w:pPr>
            <w:r w:rsidRPr="001255E6">
              <w:rPr>
                <w:rFonts w:cs="Arial"/>
                <w:color w:val="000000"/>
                <w:sz w:val="18"/>
                <w:szCs w:val="18"/>
              </w:rPr>
              <w:t> </w:t>
            </w:r>
          </w:p>
        </w:tc>
      </w:tr>
    </w:tbl>
    <w:p w14:paraId="6190E6F3" w14:textId="7A782DC2" w:rsidR="00662938" w:rsidRPr="001255E6" w:rsidRDefault="00764127" w:rsidP="00E711A5">
      <w:pPr>
        <w:pStyle w:val="Heading3"/>
        <w:rPr>
          <w:rFonts w:eastAsiaTheme="minorHAnsi"/>
        </w:rPr>
      </w:pPr>
      <w:bookmarkStart w:id="31" w:name="_Toc47607330"/>
      <w:r w:rsidRPr="001255E6">
        <w:rPr>
          <w:rFonts w:eastAsiaTheme="minorHAnsi"/>
        </w:rPr>
        <w:t xml:space="preserve">6.2 </w:t>
      </w:r>
      <w:r w:rsidR="00662938" w:rsidRPr="001255E6">
        <w:rPr>
          <w:rFonts w:eastAsiaTheme="minorHAnsi"/>
        </w:rPr>
        <w:t>Reporting Requirements</w:t>
      </w:r>
      <w:bookmarkEnd w:id="31"/>
    </w:p>
    <w:p w14:paraId="0EF8E54B" w14:textId="09928D33" w:rsidR="00662938" w:rsidRPr="001255E6" w:rsidRDefault="00662938" w:rsidP="002326E8">
      <w:r w:rsidRPr="001255E6">
        <w:t>Reports</w:t>
      </w:r>
      <w:r w:rsidR="00527004" w:rsidRPr="001255E6">
        <w:t>/ Deliverables</w:t>
      </w:r>
      <w:r w:rsidRPr="001255E6">
        <w:t xml:space="preserve"> and </w:t>
      </w:r>
      <w:r w:rsidR="00527004" w:rsidRPr="001255E6">
        <w:t>Payment Schedule</w:t>
      </w:r>
      <w:r w:rsidR="00A92A42" w:rsidRPr="001255E6">
        <w:t xml:space="preserve">- Baseline Impact Evaluation Assessment </w:t>
      </w:r>
    </w:p>
    <w:tbl>
      <w:tblPr>
        <w:tblStyle w:val="TableGrid"/>
        <w:tblW w:w="5000" w:type="pct"/>
        <w:tblLook w:val="04A0" w:firstRow="1" w:lastRow="0" w:firstColumn="1" w:lastColumn="0" w:noHBand="0" w:noVBand="1"/>
      </w:tblPr>
      <w:tblGrid>
        <w:gridCol w:w="972"/>
        <w:gridCol w:w="3470"/>
        <w:gridCol w:w="2457"/>
        <w:gridCol w:w="2451"/>
      </w:tblGrid>
      <w:tr w:rsidR="005110F2" w:rsidRPr="001255E6" w14:paraId="5C6BBADA" w14:textId="77777777" w:rsidTr="00D95653">
        <w:tc>
          <w:tcPr>
            <w:tcW w:w="510" w:type="pct"/>
            <w:vAlign w:val="center"/>
          </w:tcPr>
          <w:p w14:paraId="45EBA0BB" w14:textId="7B53E849" w:rsidR="005110F2" w:rsidRPr="001255E6" w:rsidRDefault="005110F2" w:rsidP="00EC2DD5">
            <w:pPr>
              <w:jc w:val="center"/>
            </w:pPr>
            <w:r w:rsidRPr="001255E6">
              <w:rPr>
                <w:b/>
              </w:rPr>
              <w:t>Product</w:t>
            </w:r>
          </w:p>
        </w:tc>
        <w:tc>
          <w:tcPr>
            <w:tcW w:w="1859" w:type="pct"/>
            <w:vAlign w:val="center"/>
          </w:tcPr>
          <w:p w14:paraId="7B81ECF6" w14:textId="7C9A1065" w:rsidR="005110F2" w:rsidRPr="001255E6" w:rsidRDefault="005110F2" w:rsidP="00537E4C">
            <w:r w:rsidRPr="001255E6">
              <w:rPr>
                <w:b/>
              </w:rPr>
              <w:t>Description</w:t>
            </w:r>
          </w:p>
        </w:tc>
        <w:tc>
          <w:tcPr>
            <w:tcW w:w="1317" w:type="pct"/>
          </w:tcPr>
          <w:p w14:paraId="491F6D0A" w14:textId="77777777" w:rsidR="00527004" w:rsidRPr="001255E6" w:rsidRDefault="00527004" w:rsidP="005D67CF">
            <w:pPr>
              <w:spacing w:before="0" w:after="0"/>
              <w:rPr>
                <w:b/>
              </w:rPr>
            </w:pPr>
          </w:p>
          <w:p w14:paraId="55A7020E" w14:textId="77777777" w:rsidR="00527004" w:rsidRPr="001255E6" w:rsidRDefault="00527004" w:rsidP="005D67CF">
            <w:pPr>
              <w:spacing w:before="0" w:after="0"/>
              <w:rPr>
                <w:b/>
              </w:rPr>
            </w:pPr>
            <w:r w:rsidRPr="001255E6">
              <w:rPr>
                <w:b/>
              </w:rPr>
              <w:t>Contract Price</w:t>
            </w:r>
          </w:p>
        </w:tc>
        <w:tc>
          <w:tcPr>
            <w:tcW w:w="1314" w:type="pct"/>
            <w:vAlign w:val="center"/>
          </w:tcPr>
          <w:p w14:paraId="426CA110" w14:textId="6FD2CBF8" w:rsidR="005110F2" w:rsidRPr="001255E6" w:rsidRDefault="005110F2" w:rsidP="00537E4C">
            <w:pPr>
              <w:spacing w:before="0" w:after="0"/>
            </w:pPr>
            <w:r w:rsidRPr="001255E6">
              <w:rPr>
                <w:b/>
              </w:rPr>
              <w:t>Delivery date</w:t>
            </w:r>
          </w:p>
        </w:tc>
      </w:tr>
      <w:tr w:rsidR="00662938" w:rsidRPr="001255E6" w14:paraId="6B68BB97" w14:textId="77777777" w:rsidTr="00D95653">
        <w:tc>
          <w:tcPr>
            <w:tcW w:w="510" w:type="pct"/>
            <w:vAlign w:val="center"/>
          </w:tcPr>
          <w:p w14:paraId="5D53AF40" w14:textId="77777777" w:rsidR="00662938" w:rsidRPr="001255E6" w:rsidRDefault="00662938" w:rsidP="00EC2DD5">
            <w:pPr>
              <w:jc w:val="center"/>
            </w:pPr>
            <w:r w:rsidRPr="001255E6">
              <w:t>1</w:t>
            </w:r>
          </w:p>
        </w:tc>
        <w:tc>
          <w:tcPr>
            <w:tcW w:w="1859" w:type="pct"/>
            <w:vAlign w:val="center"/>
          </w:tcPr>
          <w:p w14:paraId="6E77086F" w14:textId="36988676" w:rsidR="00662938" w:rsidRPr="001255E6" w:rsidRDefault="00527004" w:rsidP="00EC2DD5">
            <w:r w:rsidRPr="001255E6">
              <w:t xml:space="preserve">On acceptance of a </w:t>
            </w:r>
            <w:r w:rsidRPr="001255E6">
              <w:rPr>
                <w:b/>
                <w:i/>
              </w:rPr>
              <w:t xml:space="preserve">detailed </w:t>
            </w:r>
            <w:r w:rsidR="00084FE7" w:rsidRPr="001255E6">
              <w:rPr>
                <w:b/>
                <w:i/>
              </w:rPr>
              <w:t>inception report</w:t>
            </w:r>
          </w:p>
        </w:tc>
        <w:tc>
          <w:tcPr>
            <w:tcW w:w="1317" w:type="pct"/>
          </w:tcPr>
          <w:p w14:paraId="20C21FDD" w14:textId="77777777" w:rsidR="00527004" w:rsidRPr="001255E6" w:rsidRDefault="00527004" w:rsidP="005D67CF">
            <w:pPr>
              <w:spacing w:before="0" w:after="0"/>
              <w:jc w:val="center"/>
            </w:pPr>
            <w:r w:rsidRPr="001255E6">
              <w:t>10%</w:t>
            </w:r>
          </w:p>
        </w:tc>
        <w:tc>
          <w:tcPr>
            <w:tcW w:w="1314" w:type="pct"/>
            <w:vAlign w:val="center"/>
          </w:tcPr>
          <w:p w14:paraId="678B7086" w14:textId="012B8E98" w:rsidR="00662938" w:rsidRPr="001255E6" w:rsidRDefault="00662938" w:rsidP="00EC2DD5">
            <w:pPr>
              <w:spacing w:before="0" w:after="0"/>
            </w:pPr>
            <w:r w:rsidRPr="001255E6">
              <w:t>10 days after contract signature</w:t>
            </w:r>
          </w:p>
        </w:tc>
      </w:tr>
      <w:tr w:rsidR="00662938" w:rsidRPr="001255E6" w14:paraId="5BF87B3B" w14:textId="77777777" w:rsidTr="00D95653">
        <w:tc>
          <w:tcPr>
            <w:tcW w:w="510" w:type="pct"/>
            <w:vAlign w:val="center"/>
          </w:tcPr>
          <w:p w14:paraId="2BF173D0" w14:textId="77777777" w:rsidR="00662938" w:rsidRPr="001255E6" w:rsidRDefault="00662938" w:rsidP="00EC2DD5">
            <w:pPr>
              <w:jc w:val="center"/>
            </w:pPr>
            <w:r w:rsidRPr="001255E6">
              <w:t>2</w:t>
            </w:r>
          </w:p>
        </w:tc>
        <w:tc>
          <w:tcPr>
            <w:tcW w:w="1859" w:type="pct"/>
            <w:vAlign w:val="center"/>
          </w:tcPr>
          <w:p w14:paraId="68F4B206" w14:textId="4241D0CF" w:rsidR="005C3CE9" w:rsidRPr="001255E6" w:rsidRDefault="00527004" w:rsidP="00EC2DD5">
            <w:r w:rsidRPr="001255E6">
              <w:t xml:space="preserve">On acceptance of </w:t>
            </w:r>
            <w:r w:rsidR="00084FE7" w:rsidRPr="001255E6">
              <w:t>inception</w:t>
            </w:r>
            <w:r w:rsidR="00E57C05">
              <w:t xml:space="preserve"> report, </w:t>
            </w:r>
            <w:r w:rsidR="00084FE7" w:rsidRPr="001255E6">
              <w:t xml:space="preserve"> </w:t>
            </w:r>
            <w:r w:rsidRPr="001255E6">
              <w:rPr>
                <w:b/>
                <w:i/>
              </w:rPr>
              <w:t>report outlining assessment</w:t>
            </w:r>
            <w:r w:rsidR="00662938" w:rsidRPr="001255E6">
              <w:rPr>
                <w:b/>
                <w:i/>
              </w:rPr>
              <w:t xml:space="preserve"> method</w:t>
            </w:r>
            <w:r w:rsidRPr="001255E6">
              <w:rPr>
                <w:b/>
                <w:i/>
              </w:rPr>
              <w:t>,</w:t>
            </w:r>
            <w:r w:rsidR="005C3CE9" w:rsidRPr="001255E6">
              <w:rPr>
                <w:b/>
                <w:i/>
              </w:rPr>
              <w:t xml:space="preserve"> tool</w:t>
            </w:r>
            <w:r w:rsidRPr="001255E6">
              <w:rPr>
                <w:b/>
                <w:i/>
              </w:rPr>
              <w:t>(s</w:t>
            </w:r>
            <w:r w:rsidR="00C752B4" w:rsidRPr="001255E6">
              <w:rPr>
                <w:b/>
                <w:i/>
              </w:rPr>
              <w:t>),</w:t>
            </w:r>
            <w:r w:rsidR="005C3CE9" w:rsidRPr="001255E6">
              <w:rPr>
                <w:b/>
                <w:i/>
              </w:rPr>
              <w:t xml:space="preserve"> and </w:t>
            </w:r>
            <w:r w:rsidRPr="001255E6">
              <w:rPr>
                <w:b/>
                <w:i/>
              </w:rPr>
              <w:t>protocol(s)</w:t>
            </w:r>
          </w:p>
        </w:tc>
        <w:tc>
          <w:tcPr>
            <w:tcW w:w="1317" w:type="pct"/>
          </w:tcPr>
          <w:p w14:paraId="675C1166" w14:textId="77777777" w:rsidR="00527004" w:rsidRPr="001255E6" w:rsidRDefault="00527004" w:rsidP="005D67CF">
            <w:pPr>
              <w:spacing w:before="0" w:after="0"/>
              <w:jc w:val="center"/>
            </w:pPr>
          </w:p>
          <w:p w14:paraId="52146805" w14:textId="77777777" w:rsidR="00527004" w:rsidRPr="001255E6" w:rsidRDefault="00527004" w:rsidP="005D67CF">
            <w:pPr>
              <w:spacing w:before="0" w:after="0"/>
              <w:jc w:val="center"/>
            </w:pPr>
            <w:r w:rsidRPr="001255E6">
              <w:t>10%</w:t>
            </w:r>
          </w:p>
        </w:tc>
        <w:tc>
          <w:tcPr>
            <w:tcW w:w="1314" w:type="pct"/>
            <w:vAlign w:val="center"/>
          </w:tcPr>
          <w:p w14:paraId="0E5E8A9E" w14:textId="6DD429CE" w:rsidR="00662938" w:rsidRPr="001255E6" w:rsidRDefault="00084FE7" w:rsidP="00EC2DD5">
            <w:pPr>
              <w:spacing w:before="0" w:after="0"/>
            </w:pPr>
            <w:r w:rsidRPr="001255E6">
              <w:t>8 weeks</w:t>
            </w:r>
            <w:r w:rsidR="005110F2" w:rsidRPr="001255E6">
              <w:t xml:space="preserve"> after contract</w:t>
            </w:r>
            <w:r w:rsidR="0057215B" w:rsidRPr="001255E6">
              <w:t xml:space="preserve"> S</w:t>
            </w:r>
            <w:r w:rsidR="002A5435" w:rsidRPr="001255E6">
              <w:t>i</w:t>
            </w:r>
            <w:r w:rsidR="0057215B" w:rsidRPr="001255E6">
              <w:t>gnature</w:t>
            </w:r>
          </w:p>
        </w:tc>
      </w:tr>
      <w:tr w:rsidR="00662938" w:rsidRPr="001255E6" w14:paraId="5AC977EF" w14:textId="77777777" w:rsidTr="00D95653">
        <w:tc>
          <w:tcPr>
            <w:tcW w:w="510" w:type="pct"/>
            <w:vAlign w:val="center"/>
          </w:tcPr>
          <w:p w14:paraId="669C6A3C" w14:textId="77777777" w:rsidR="00662938" w:rsidRPr="001255E6" w:rsidRDefault="00662938" w:rsidP="00EC2DD5">
            <w:pPr>
              <w:jc w:val="center"/>
            </w:pPr>
            <w:r w:rsidRPr="001255E6">
              <w:t>3</w:t>
            </w:r>
          </w:p>
        </w:tc>
        <w:tc>
          <w:tcPr>
            <w:tcW w:w="1859" w:type="pct"/>
            <w:vAlign w:val="center"/>
          </w:tcPr>
          <w:p w14:paraId="19A47DE7" w14:textId="28BCA342" w:rsidR="00662938" w:rsidRPr="001255E6" w:rsidRDefault="00527004" w:rsidP="00EC2DD5">
            <w:r w:rsidRPr="001255E6">
              <w:t xml:space="preserve">On presentation of </w:t>
            </w:r>
            <w:r w:rsidRPr="001255E6">
              <w:rPr>
                <w:b/>
                <w:i/>
              </w:rPr>
              <w:t xml:space="preserve">final assessment tool(s) and collected data </w:t>
            </w:r>
            <w:r w:rsidRPr="001255E6">
              <w:t xml:space="preserve">and on acceptance of </w:t>
            </w:r>
            <w:r w:rsidRPr="001255E6">
              <w:rPr>
                <w:b/>
                <w:i/>
              </w:rPr>
              <w:t xml:space="preserve">report detailing baseline survey results </w:t>
            </w:r>
          </w:p>
        </w:tc>
        <w:tc>
          <w:tcPr>
            <w:tcW w:w="1317" w:type="pct"/>
          </w:tcPr>
          <w:p w14:paraId="3662A9C6" w14:textId="77777777" w:rsidR="00527004" w:rsidRPr="001255E6" w:rsidRDefault="00527004" w:rsidP="005D67CF">
            <w:pPr>
              <w:spacing w:before="0" w:after="0"/>
              <w:jc w:val="center"/>
            </w:pPr>
            <w:r w:rsidRPr="001255E6">
              <w:t>30%</w:t>
            </w:r>
          </w:p>
        </w:tc>
        <w:tc>
          <w:tcPr>
            <w:tcW w:w="1314" w:type="pct"/>
            <w:vAlign w:val="center"/>
          </w:tcPr>
          <w:p w14:paraId="567ED54B" w14:textId="6B3767C0" w:rsidR="00662938" w:rsidRPr="001255E6" w:rsidRDefault="00527004" w:rsidP="005110F2">
            <w:pPr>
              <w:spacing w:before="0" w:after="0"/>
            </w:pPr>
            <w:r w:rsidRPr="001255E6">
              <w:t>4</w:t>
            </w:r>
            <w:r w:rsidR="00EA2E95" w:rsidRPr="001255E6">
              <w:t xml:space="preserve"> </w:t>
            </w:r>
            <w:r w:rsidR="005110F2" w:rsidRPr="001255E6">
              <w:t>months</w:t>
            </w:r>
            <w:r w:rsidR="0057215B" w:rsidRPr="001255E6">
              <w:t xml:space="preserve"> after contract signature</w:t>
            </w:r>
          </w:p>
        </w:tc>
      </w:tr>
      <w:tr w:rsidR="001B3D39" w:rsidRPr="001255E6" w14:paraId="3FBB7047" w14:textId="77777777" w:rsidTr="00D95653">
        <w:tc>
          <w:tcPr>
            <w:tcW w:w="510" w:type="pct"/>
            <w:vAlign w:val="center"/>
          </w:tcPr>
          <w:p w14:paraId="51C15E40" w14:textId="7233DAB6" w:rsidR="001B3D39" w:rsidRPr="001255E6" w:rsidRDefault="001B3D39" w:rsidP="00EC2DD5">
            <w:pPr>
              <w:jc w:val="center"/>
            </w:pPr>
            <w:r w:rsidRPr="001255E6">
              <w:t>4</w:t>
            </w:r>
          </w:p>
        </w:tc>
        <w:tc>
          <w:tcPr>
            <w:tcW w:w="1859" w:type="pct"/>
            <w:vAlign w:val="center"/>
          </w:tcPr>
          <w:p w14:paraId="0249B06C" w14:textId="2871138B" w:rsidR="001B3D39" w:rsidRPr="001255E6" w:rsidRDefault="00527004" w:rsidP="00EC2DD5">
            <w:r w:rsidRPr="001255E6">
              <w:t xml:space="preserve">On acceptance of </w:t>
            </w:r>
            <w:r w:rsidRPr="001255E6">
              <w:rPr>
                <w:b/>
                <w:i/>
              </w:rPr>
              <w:t xml:space="preserve">Draft </w:t>
            </w:r>
            <w:r w:rsidR="002326E8" w:rsidRPr="001255E6">
              <w:rPr>
                <w:rFonts w:eastAsiaTheme="minorHAnsi"/>
                <w:b/>
                <w:i/>
              </w:rPr>
              <w:t>Baseline</w:t>
            </w:r>
            <w:r w:rsidRPr="001255E6">
              <w:rPr>
                <w:b/>
                <w:i/>
              </w:rPr>
              <w:t xml:space="preserve"> Assessment</w:t>
            </w:r>
            <w:r w:rsidR="005C3CE9" w:rsidRPr="001255E6">
              <w:t xml:space="preserve"> and </w:t>
            </w:r>
            <w:r w:rsidR="005C3CE9" w:rsidRPr="001255E6">
              <w:rPr>
                <w:b/>
                <w:i/>
              </w:rPr>
              <w:t xml:space="preserve">dissemination </w:t>
            </w:r>
            <w:r w:rsidRPr="001255E6">
              <w:rPr>
                <w:b/>
                <w:i/>
              </w:rPr>
              <w:t>of findings</w:t>
            </w:r>
            <w:r w:rsidRPr="001255E6">
              <w:t xml:space="preserve"> to stakeholders</w:t>
            </w:r>
          </w:p>
        </w:tc>
        <w:tc>
          <w:tcPr>
            <w:tcW w:w="1317" w:type="pct"/>
          </w:tcPr>
          <w:p w14:paraId="0EDE87F7" w14:textId="77777777" w:rsidR="00527004" w:rsidRPr="001255E6" w:rsidRDefault="00527004" w:rsidP="005D67CF">
            <w:pPr>
              <w:spacing w:before="0" w:after="0"/>
              <w:jc w:val="center"/>
            </w:pPr>
            <w:r w:rsidRPr="001255E6">
              <w:t>20%</w:t>
            </w:r>
          </w:p>
        </w:tc>
        <w:tc>
          <w:tcPr>
            <w:tcW w:w="1314" w:type="pct"/>
            <w:vAlign w:val="center"/>
          </w:tcPr>
          <w:p w14:paraId="6001CA51" w14:textId="42A7F6E8" w:rsidR="001B3D39" w:rsidRPr="001255E6" w:rsidRDefault="00527004" w:rsidP="00EC2DD5">
            <w:pPr>
              <w:spacing w:before="0" w:after="0"/>
            </w:pPr>
            <w:r w:rsidRPr="001255E6">
              <w:t>5 months after contract signature</w:t>
            </w:r>
          </w:p>
        </w:tc>
      </w:tr>
      <w:tr w:rsidR="00662938" w:rsidRPr="001255E6" w14:paraId="0C02B1B9" w14:textId="77777777" w:rsidTr="00D95653">
        <w:tc>
          <w:tcPr>
            <w:tcW w:w="510" w:type="pct"/>
            <w:vAlign w:val="center"/>
          </w:tcPr>
          <w:p w14:paraId="707E2D99" w14:textId="63EBA370" w:rsidR="00662938" w:rsidRPr="001255E6" w:rsidRDefault="00527004" w:rsidP="00EC2DD5">
            <w:pPr>
              <w:jc w:val="center"/>
            </w:pPr>
            <w:r w:rsidRPr="001255E6">
              <w:t>5</w:t>
            </w:r>
          </w:p>
        </w:tc>
        <w:tc>
          <w:tcPr>
            <w:tcW w:w="1859" w:type="pct"/>
            <w:vAlign w:val="center"/>
          </w:tcPr>
          <w:p w14:paraId="33A83208" w14:textId="169CAEBC" w:rsidR="00662938" w:rsidRPr="001255E6" w:rsidRDefault="00527004" w:rsidP="00EC2DD5">
            <w:r w:rsidRPr="001255E6">
              <w:t xml:space="preserve">On acceptance of </w:t>
            </w:r>
            <w:r w:rsidR="00662938" w:rsidRPr="001255E6">
              <w:rPr>
                <w:b/>
                <w:i/>
              </w:rPr>
              <w:t xml:space="preserve">Final report of the </w:t>
            </w:r>
            <w:r w:rsidRPr="001255E6">
              <w:rPr>
                <w:b/>
                <w:i/>
              </w:rPr>
              <w:t>Baseline Assessment</w:t>
            </w:r>
          </w:p>
        </w:tc>
        <w:tc>
          <w:tcPr>
            <w:tcW w:w="1317" w:type="pct"/>
          </w:tcPr>
          <w:p w14:paraId="025F05D9" w14:textId="77777777" w:rsidR="00527004" w:rsidRPr="001255E6" w:rsidRDefault="00527004" w:rsidP="005D67CF">
            <w:pPr>
              <w:spacing w:before="0" w:after="0"/>
              <w:jc w:val="center"/>
            </w:pPr>
            <w:r w:rsidRPr="001255E6">
              <w:t>30%</w:t>
            </w:r>
          </w:p>
        </w:tc>
        <w:tc>
          <w:tcPr>
            <w:tcW w:w="1314" w:type="pct"/>
            <w:vAlign w:val="center"/>
          </w:tcPr>
          <w:p w14:paraId="569422AA" w14:textId="20679430" w:rsidR="00662938" w:rsidRPr="001255E6" w:rsidRDefault="00527004" w:rsidP="00EC2DD5">
            <w:pPr>
              <w:spacing w:before="0" w:after="0"/>
            </w:pPr>
            <w:r w:rsidRPr="001255E6">
              <w:t>6 months</w:t>
            </w:r>
            <w:r w:rsidR="00EA2E95" w:rsidRPr="001255E6">
              <w:t xml:space="preserve"> after </w:t>
            </w:r>
            <w:r w:rsidRPr="001255E6">
              <w:t>contract signature</w:t>
            </w:r>
          </w:p>
        </w:tc>
      </w:tr>
    </w:tbl>
    <w:p w14:paraId="52E80C89" w14:textId="77777777" w:rsidR="009E760D" w:rsidRPr="001255E6" w:rsidRDefault="009E760D" w:rsidP="00D23740">
      <w:pPr>
        <w:pStyle w:val="Heading2"/>
      </w:pPr>
    </w:p>
    <w:p w14:paraId="5C45A3BB" w14:textId="3AC72373" w:rsidR="001B120A" w:rsidRPr="001255E6" w:rsidRDefault="00D23740" w:rsidP="00D23740">
      <w:pPr>
        <w:pStyle w:val="Heading2"/>
      </w:pPr>
      <w:bookmarkStart w:id="32" w:name="_Toc47607331"/>
      <w:r w:rsidRPr="001255E6">
        <w:t>7</w:t>
      </w:r>
      <w:r w:rsidR="00D30F61" w:rsidRPr="001255E6">
        <w:rPr>
          <w:color w:val="000000" w:themeColor="text1"/>
        </w:rPr>
        <w:t xml:space="preserve">. </w:t>
      </w:r>
      <w:r w:rsidR="001B120A" w:rsidRPr="001255E6">
        <w:t xml:space="preserve">What </w:t>
      </w:r>
      <w:r w:rsidR="00424B33" w:rsidRPr="001255E6">
        <w:t>you will</w:t>
      </w:r>
      <w:r w:rsidR="001B120A" w:rsidRPr="001255E6">
        <w:t xml:space="preserve"> need:</w:t>
      </w:r>
      <w:bookmarkEnd w:id="32"/>
      <w:r w:rsidR="001B120A" w:rsidRPr="001255E6">
        <w:t xml:space="preserve"> </w:t>
      </w:r>
    </w:p>
    <w:p w14:paraId="597F4E5C" w14:textId="77777777" w:rsidR="0027317D" w:rsidRPr="003321FF" w:rsidRDefault="0027317D" w:rsidP="0027317D">
      <w:pPr>
        <w:rPr>
          <w:rFonts w:ascii="Tahoma" w:hAnsi="Tahoma" w:cs="Tahoma"/>
          <w:b/>
          <w:color w:val="000000"/>
          <w:sz w:val="20"/>
        </w:rPr>
      </w:pPr>
      <w:r w:rsidRPr="003321FF">
        <w:rPr>
          <w:rFonts w:ascii="Tahoma" w:hAnsi="Tahoma" w:cs="Tahoma"/>
          <w:b/>
          <w:color w:val="000000"/>
          <w:sz w:val="20"/>
        </w:rPr>
        <w:t>Qualifications of the Firm:</w:t>
      </w:r>
    </w:p>
    <w:p w14:paraId="5DFE744D" w14:textId="17999E55" w:rsidR="0027317D" w:rsidRPr="003321FF" w:rsidRDefault="0027317D" w:rsidP="003321FF">
      <w:pPr>
        <w:pStyle w:val="ListParagraph"/>
        <w:numPr>
          <w:ilvl w:val="0"/>
          <w:numId w:val="19"/>
        </w:numPr>
        <w:rPr>
          <w:rFonts w:ascii="Tahoma" w:hAnsi="Tahoma" w:cs="Tahoma"/>
          <w:color w:val="000000"/>
          <w:sz w:val="20"/>
        </w:rPr>
      </w:pPr>
      <w:r w:rsidRPr="003321FF">
        <w:rPr>
          <w:rFonts w:ascii="Tahoma" w:hAnsi="Tahoma" w:cs="Tahoma"/>
          <w:color w:val="000000"/>
          <w:sz w:val="20"/>
        </w:rPr>
        <w:t>Experience in organizing large-scale surveys, studies or impact evaluations within the past five (5) - ten (10) years.</w:t>
      </w:r>
    </w:p>
    <w:p w14:paraId="05C08D36" w14:textId="7A037B13" w:rsidR="0027317D" w:rsidRPr="003321FF" w:rsidRDefault="0027317D" w:rsidP="003321FF">
      <w:pPr>
        <w:pStyle w:val="ListParagraph"/>
        <w:numPr>
          <w:ilvl w:val="0"/>
          <w:numId w:val="19"/>
        </w:numPr>
        <w:rPr>
          <w:rFonts w:ascii="Tahoma" w:hAnsi="Tahoma" w:cs="Tahoma"/>
          <w:color w:val="000000"/>
          <w:sz w:val="20"/>
        </w:rPr>
      </w:pPr>
      <w:r w:rsidRPr="003321FF">
        <w:rPr>
          <w:rFonts w:ascii="Tahoma" w:hAnsi="Tahoma" w:cs="Tahoma"/>
          <w:color w:val="000000"/>
          <w:sz w:val="20"/>
        </w:rPr>
        <w:lastRenderedPageBreak/>
        <w:t>Experience in design and implementation of evaluations of quantitative impact using randomized or otherwise controlled designs in the health sector </w:t>
      </w:r>
    </w:p>
    <w:p w14:paraId="66418750" w14:textId="4A689FBD" w:rsidR="0027317D" w:rsidRPr="003321FF" w:rsidRDefault="0027317D" w:rsidP="0027317D">
      <w:pPr>
        <w:rPr>
          <w:rFonts w:ascii="Tahoma" w:hAnsi="Tahoma" w:cs="Tahoma"/>
          <w:color w:val="000000"/>
          <w:sz w:val="20"/>
        </w:rPr>
      </w:pPr>
      <w:r w:rsidRPr="003321FF">
        <w:rPr>
          <w:rFonts w:ascii="Tahoma" w:hAnsi="Tahoma" w:cs="Tahoma"/>
          <w:color w:val="000000"/>
          <w:sz w:val="20"/>
        </w:rPr>
        <w:t> </w:t>
      </w:r>
    </w:p>
    <w:p w14:paraId="7AF0F142" w14:textId="77777777" w:rsidR="0027317D" w:rsidRPr="003321FF" w:rsidRDefault="0027317D" w:rsidP="0027317D">
      <w:pPr>
        <w:rPr>
          <w:rFonts w:ascii="Tahoma" w:hAnsi="Tahoma" w:cs="Tahoma"/>
          <w:b/>
          <w:color w:val="000000"/>
          <w:sz w:val="20"/>
        </w:rPr>
      </w:pPr>
      <w:r w:rsidRPr="003321FF">
        <w:rPr>
          <w:rFonts w:ascii="Tahoma" w:hAnsi="Tahoma" w:cs="Tahoma"/>
          <w:b/>
          <w:color w:val="000000"/>
          <w:sz w:val="20"/>
        </w:rPr>
        <w:t>Qualifications of the Team (Key Experts):</w:t>
      </w:r>
    </w:p>
    <w:p w14:paraId="107941E9" w14:textId="043BEF3B" w:rsidR="0027317D" w:rsidRPr="003321FF" w:rsidRDefault="0027317D" w:rsidP="0027317D">
      <w:pPr>
        <w:rPr>
          <w:rFonts w:ascii="Tahoma" w:hAnsi="Tahoma" w:cs="Tahoma"/>
          <w:sz w:val="20"/>
          <w:u w:val="single"/>
        </w:rPr>
      </w:pPr>
      <w:r w:rsidRPr="003321FF">
        <w:rPr>
          <w:rFonts w:ascii="Tahoma" w:hAnsi="Tahoma" w:cs="Tahoma"/>
          <w:sz w:val="20"/>
          <w:u w:val="single"/>
        </w:rPr>
        <w:t> </w:t>
      </w:r>
      <w:r w:rsidRPr="003321FF">
        <w:rPr>
          <w:rFonts w:ascii="Tahoma" w:hAnsi="Tahoma" w:cs="Tahoma"/>
          <w:bCs/>
          <w:sz w:val="20"/>
          <w:u w:val="single"/>
        </w:rPr>
        <w:t>Team Leader:</w:t>
      </w:r>
    </w:p>
    <w:p w14:paraId="16E2368D" w14:textId="77777777" w:rsidR="0027317D" w:rsidRPr="003321FF" w:rsidRDefault="0027317D" w:rsidP="0027317D">
      <w:pPr>
        <w:pStyle w:val="ListParagraph"/>
        <w:numPr>
          <w:ilvl w:val="0"/>
          <w:numId w:val="16"/>
        </w:numPr>
        <w:suppressAutoHyphens w:val="0"/>
        <w:spacing w:before="0" w:after="0"/>
        <w:contextualSpacing/>
        <w:jc w:val="left"/>
        <w:rPr>
          <w:rFonts w:ascii="Tahoma" w:hAnsi="Tahoma" w:cs="Tahoma"/>
          <w:sz w:val="20"/>
        </w:rPr>
      </w:pPr>
      <w:r w:rsidRPr="003321FF">
        <w:rPr>
          <w:rFonts w:ascii="Tahoma" w:hAnsi="Tahoma" w:cs="Tahoma"/>
          <w:sz w:val="20"/>
        </w:rPr>
        <w:t xml:space="preserve">Master of Science Degree in health economics, actuary, related social science field, and certification project management or monitoring and evaluation  </w:t>
      </w:r>
    </w:p>
    <w:p w14:paraId="7F538DD2" w14:textId="77777777" w:rsidR="0027317D" w:rsidRPr="003321FF" w:rsidRDefault="0027317D" w:rsidP="0027317D">
      <w:pPr>
        <w:pStyle w:val="ListParagraph"/>
        <w:numPr>
          <w:ilvl w:val="0"/>
          <w:numId w:val="16"/>
        </w:numPr>
        <w:suppressAutoHyphens w:val="0"/>
        <w:spacing w:before="0" w:after="0"/>
        <w:contextualSpacing/>
        <w:jc w:val="left"/>
        <w:rPr>
          <w:rFonts w:ascii="Tahoma" w:hAnsi="Tahoma" w:cs="Tahoma"/>
          <w:sz w:val="20"/>
        </w:rPr>
      </w:pPr>
      <w:r w:rsidRPr="003321FF">
        <w:rPr>
          <w:rFonts w:ascii="Tahoma" w:hAnsi="Tahoma" w:cs="Tahoma"/>
          <w:sz w:val="20"/>
        </w:rPr>
        <w:t>Five to Ten Years of related/ similar experience.</w:t>
      </w:r>
    </w:p>
    <w:p w14:paraId="43749FE2" w14:textId="77777777" w:rsidR="0027317D" w:rsidRPr="003321FF" w:rsidRDefault="0027317D" w:rsidP="0027317D">
      <w:pPr>
        <w:pStyle w:val="ListParagraph"/>
        <w:numPr>
          <w:ilvl w:val="0"/>
          <w:numId w:val="16"/>
        </w:numPr>
        <w:suppressAutoHyphens w:val="0"/>
        <w:spacing w:before="0" w:after="0"/>
        <w:contextualSpacing/>
        <w:jc w:val="left"/>
        <w:rPr>
          <w:rFonts w:ascii="Tahoma" w:hAnsi="Tahoma" w:cs="Tahoma"/>
          <w:sz w:val="20"/>
        </w:rPr>
      </w:pPr>
      <w:r w:rsidRPr="003321FF">
        <w:rPr>
          <w:rFonts w:ascii="Tahoma" w:hAnsi="Tahoma" w:cs="Tahoma"/>
          <w:sz w:val="20"/>
        </w:rPr>
        <w:t>Extensive conceptual and methodological skills and experience in applying qualitative and quantitative research evaluation methods</w:t>
      </w:r>
    </w:p>
    <w:p w14:paraId="6C267ED6" w14:textId="77777777" w:rsidR="0027317D" w:rsidRPr="003321FF" w:rsidRDefault="0027317D" w:rsidP="0027317D">
      <w:pPr>
        <w:pStyle w:val="ListParagraph"/>
        <w:numPr>
          <w:ilvl w:val="0"/>
          <w:numId w:val="16"/>
        </w:numPr>
        <w:suppressAutoHyphens w:val="0"/>
        <w:spacing w:before="0" w:after="0"/>
        <w:contextualSpacing/>
        <w:jc w:val="left"/>
        <w:rPr>
          <w:rFonts w:ascii="Tahoma" w:hAnsi="Tahoma" w:cs="Tahoma"/>
          <w:sz w:val="20"/>
        </w:rPr>
      </w:pPr>
      <w:r w:rsidRPr="003321FF">
        <w:rPr>
          <w:rFonts w:ascii="Tahoma" w:hAnsi="Tahoma" w:cs="Tahoma"/>
          <w:sz w:val="20"/>
        </w:rPr>
        <w:t>Experience in evaluating large investments, infrastructure development or social impact programmes/ projects.</w:t>
      </w:r>
    </w:p>
    <w:p w14:paraId="1BDCBA80" w14:textId="77777777" w:rsidR="0027317D" w:rsidRPr="003321FF" w:rsidRDefault="0027317D" w:rsidP="0027317D">
      <w:pPr>
        <w:pStyle w:val="ListParagraph"/>
        <w:numPr>
          <w:ilvl w:val="0"/>
          <w:numId w:val="16"/>
        </w:numPr>
        <w:suppressAutoHyphens w:val="0"/>
        <w:spacing w:before="0" w:after="0"/>
        <w:contextualSpacing/>
        <w:jc w:val="left"/>
        <w:rPr>
          <w:rFonts w:ascii="Tahoma" w:hAnsi="Tahoma" w:cs="Tahoma"/>
          <w:sz w:val="20"/>
        </w:rPr>
      </w:pPr>
      <w:r w:rsidRPr="003321FF">
        <w:rPr>
          <w:rFonts w:ascii="Tahoma" w:hAnsi="Tahoma" w:cs="Tahoma"/>
          <w:sz w:val="20"/>
        </w:rPr>
        <w:t>Excellent communication skills</w:t>
      </w:r>
    </w:p>
    <w:p w14:paraId="7DEB838F" w14:textId="77777777" w:rsidR="0027317D" w:rsidRPr="003321FF" w:rsidRDefault="0027317D" w:rsidP="0027317D">
      <w:pPr>
        <w:ind w:firstLine="60"/>
        <w:rPr>
          <w:rFonts w:ascii="Tahoma" w:hAnsi="Tahoma" w:cs="Tahoma"/>
          <w:sz w:val="20"/>
        </w:rPr>
      </w:pPr>
    </w:p>
    <w:p w14:paraId="4F22F497" w14:textId="77777777" w:rsidR="0027317D" w:rsidRPr="003321FF" w:rsidRDefault="0027317D" w:rsidP="0027317D">
      <w:pPr>
        <w:rPr>
          <w:rFonts w:ascii="Tahoma" w:hAnsi="Tahoma" w:cs="Tahoma"/>
          <w:sz w:val="20"/>
          <w:u w:val="single"/>
        </w:rPr>
      </w:pPr>
      <w:r w:rsidRPr="003321FF">
        <w:rPr>
          <w:rFonts w:ascii="Tahoma" w:hAnsi="Tahoma" w:cs="Tahoma"/>
          <w:bCs/>
          <w:sz w:val="20"/>
          <w:u w:val="single"/>
        </w:rPr>
        <w:t>National Expert / Primary Technical Consultant</w:t>
      </w:r>
    </w:p>
    <w:p w14:paraId="0B0E3793" w14:textId="77777777" w:rsidR="0027317D" w:rsidRPr="003321FF" w:rsidRDefault="0027317D" w:rsidP="0027317D">
      <w:pPr>
        <w:pStyle w:val="ListParagraph"/>
        <w:numPr>
          <w:ilvl w:val="0"/>
          <w:numId w:val="17"/>
        </w:numPr>
        <w:suppressAutoHyphens w:val="0"/>
        <w:spacing w:before="0" w:after="0"/>
        <w:contextualSpacing/>
        <w:jc w:val="left"/>
        <w:rPr>
          <w:rFonts w:ascii="Tahoma" w:hAnsi="Tahoma" w:cs="Tahoma"/>
          <w:sz w:val="20"/>
        </w:rPr>
      </w:pPr>
      <w:r w:rsidRPr="003321FF">
        <w:rPr>
          <w:rFonts w:ascii="Tahoma" w:hAnsi="Tahoma" w:cs="Tahoma"/>
          <w:sz w:val="20"/>
        </w:rPr>
        <w:t>A Bachelor’s degree in Project Management, the Social Sciences or relevant field and or certification in Monitoring and evaluation</w:t>
      </w:r>
    </w:p>
    <w:p w14:paraId="3B76B966" w14:textId="77777777" w:rsidR="0027317D" w:rsidRPr="003321FF" w:rsidRDefault="0027317D" w:rsidP="0027317D">
      <w:pPr>
        <w:pStyle w:val="ListParagraph"/>
        <w:numPr>
          <w:ilvl w:val="0"/>
          <w:numId w:val="17"/>
        </w:numPr>
        <w:suppressAutoHyphens w:val="0"/>
        <w:spacing w:before="0" w:after="0"/>
        <w:contextualSpacing/>
        <w:jc w:val="left"/>
        <w:rPr>
          <w:rFonts w:ascii="Tahoma" w:hAnsi="Tahoma" w:cs="Tahoma"/>
          <w:sz w:val="20"/>
        </w:rPr>
      </w:pPr>
      <w:r w:rsidRPr="003321FF">
        <w:rPr>
          <w:rFonts w:ascii="Tahoma" w:hAnsi="Tahoma" w:cs="Tahoma"/>
          <w:sz w:val="20"/>
        </w:rPr>
        <w:t>A minimum of five (5) years of professional work experience in the areas of programme evaluation and or monitoring and evaluation, especially in health, education and development</w:t>
      </w:r>
    </w:p>
    <w:p w14:paraId="54B36455" w14:textId="77777777" w:rsidR="0027317D" w:rsidRPr="003321FF" w:rsidRDefault="0027317D" w:rsidP="0027317D">
      <w:pPr>
        <w:pStyle w:val="ListParagraph"/>
        <w:numPr>
          <w:ilvl w:val="0"/>
          <w:numId w:val="17"/>
        </w:numPr>
        <w:suppressAutoHyphens w:val="0"/>
        <w:spacing w:before="0" w:after="0"/>
        <w:contextualSpacing/>
        <w:jc w:val="left"/>
        <w:rPr>
          <w:rFonts w:ascii="Tahoma" w:hAnsi="Tahoma" w:cs="Tahoma"/>
          <w:sz w:val="20"/>
        </w:rPr>
      </w:pPr>
      <w:r w:rsidRPr="003321FF">
        <w:rPr>
          <w:rFonts w:ascii="Tahoma" w:hAnsi="Tahoma" w:cs="Tahoma"/>
          <w:sz w:val="20"/>
        </w:rPr>
        <w:t>Extensive knowledge of and relevant experience in applying qualitative and quantitative evaluation/research methods, data analysis (households and facilities); using statistical analysis software (preferably STATA), special attention to research protocols, research documents and descriptive reports from a diverse audience</w:t>
      </w:r>
    </w:p>
    <w:p w14:paraId="011CE866" w14:textId="77777777" w:rsidR="0027317D" w:rsidRPr="003321FF" w:rsidRDefault="0027317D" w:rsidP="0027317D">
      <w:pPr>
        <w:pStyle w:val="ListParagraph"/>
        <w:numPr>
          <w:ilvl w:val="0"/>
          <w:numId w:val="17"/>
        </w:numPr>
        <w:suppressAutoHyphens w:val="0"/>
        <w:spacing w:before="0" w:after="0"/>
        <w:contextualSpacing/>
        <w:jc w:val="left"/>
        <w:rPr>
          <w:rFonts w:ascii="Tahoma" w:hAnsi="Tahoma" w:cs="Tahoma"/>
          <w:sz w:val="20"/>
        </w:rPr>
      </w:pPr>
      <w:r w:rsidRPr="003321FF">
        <w:rPr>
          <w:rFonts w:ascii="Tahoma" w:hAnsi="Tahoma" w:cs="Tahoma"/>
          <w:sz w:val="20"/>
        </w:rPr>
        <w:t>Excellent communicative, both spoken and written skills in the local languages</w:t>
      </w:r>
    </w:p>
    <w:p w14:paraId="4D0C4A86" w14:textId="776BA076" w:rsidR="0027317D" w:rsidRPr="003321FF" w:rsidRDefault="0027317D" w:rsidP="0027317D">
      <w:pPr>
        <w:rPr>
          <w:rFonts w:ascii="Tahoma" w:hAnsi="Tahoma" w:cs="Tahoma"/>
          <w:sz w:val="20"/>
          <w:u w:val="single"/>
        </w:rPr>
      </w:pPr>
    </w:p>
    <w:p w14:paraId="6B93DCBB" w14:textId="77777777" w:rsidR="0027317D" w:rsidRPr="003321FF" w:rsidRDefault="0027317D" w:rsidP="0027317D">
      <w:pPr>
        <w:rPr>
          <w:rFonts w:ascii="Tahoma" w:hAnsi="Tahoma" w:cs="Tahoma"/>
          <w:sz w:val="20"/>
          <w:u w:val="single"/>
        </w:rPr>
      </w:pPr>
      <w:r w:rsidRPr="003321FF">
        <w:rPr>
          <w:rFonts w:ascii="Tahoma" w:hAnsi="Tahoma" w:cs="Tahoma"/>
          <w:bCs/>
          <w:sz w:val="20"/>
          <w:u w:val="single"/>
        </w:rPr>
        <w:t>Secondary Technical Expert/Health Specialist</w:t>
      </w:r>
    </w:p>
    <w:p w14:paraId="2287E660" w14:textId="77777777" w:rsidR="0027317D" w:rsidRPr="003321FF" w:rsidRDefault="0027317D" w:rsidP="0027317D">
      <w:pPr>
        <w:pStyle w:val="ListParagraph"/>
        <w:numPr>
          <w:ilvl w:val="0"/>
          <w:numId w:val="18"/>
        </w:numPr>
        <w:suppressAutoHyphens w:val="0"/>
        <w:spacing w:before="0" w:after="0"/>
        <w:contextualSpacing/>
        <w:jc w:val="left"/>
        <w:rPr>
          <w:rFonts w:ascii="Tahoma" w:hAnsi="Tahoma" w:cs="Tahoma"/>
          <w:sz w:val="20"/>
        </w:rPr>
      </w:pPr>
      <w:r w:rsidRPr="003321FF">
        <w:rPr>
          <w:rFonts w:ascii="Tahoma" w:hAnsi="Tahoma" w:cs="Tahoma"/>
          <w:sz w:val="20"/>
        </w:rPr>
        <w:t>A Bachelor’s degree in Medicine, The Sciences or other relevant field</w:t>
      </w:r>
    </w:p>
    <w:p w14:paraId="529DAED7" w14:textId="77777777" w:rsidR="0027317D" w:rsidRPr="003321FF" w:rsidRDefault="0027317D" w:rsidP="0027317D">
      <w:pPr>
        <w:pStyle w:val="ListParagraph"/>
        <w:numPr>
          <w:ilvl w:val="0"/>
          <w:numId w:val="18"/>
        </w:numPr>
        <w:suppressAutoHyphens w:val="0"/>
        <w:spacing w:before="0" w:after="0"/>
        <w:contextualSpacing/>
        <w:jc w:val="left"/>
        <w:rPr>
          <w:rFonts w:ascii="Tahoma" w:hAnsi="Tahoma" w:cs="Tahoma"/>
          <w:sz w:val="20"/>
        </w:rPr>
      </w:pPr>
      <w:r w:rsidRPr="003321FF">
        <w:rPr>
          <w:rFonts w:ascii="Tahoma" w:hAnsi="Tahoma" w:cs="Tahoma"/>
          <w:sz w:val="20"/>
        </w:rPr>
        <w:t>Minimum of 5 years of professional work experience in the areas of programme monitoring and evaluation, especially in health, or development</w:t>
      </w:r>
    </w:p>
    <w:p w14:paraId="06495044" w14:textId="77777777" w:rsidR="0027317D" w:rsidRPr="003321FF" w:rsidRDefault="0027317D" w:rsidP="0027317D">
      <w:pPr>
        <w:pStyle w:val="ListParagraph"/>
        <w:numPr>
          <w:ilvl w:val="0"/>
          <w:numId w:val="18"/>
        </w:numPr>
        <w:suppressAutoHyphens w:val="0"/>
        <w:spacing w:before="0" w:after="0"/>
        <w:contextualSpacing/>
        <w:jc w:val="left"/>
        <w:rPr>
          <w:rFonts w:ascii="Tahoma" w:hAnsi="Tahoma" w:cs="Tahoma"/>
          <w:sz w:val="20"/>
        </w:rPr>
      </w:pPr>
      <w:r w:rsidRPr="003321FF">
        <w:rPr>
          <w:rFonts w:ascii="Tahoma" w:hAnsi="Tahoma" w:cs="Tahoma"/>
          <w:sz w:val="20"/>
        </w:rPr>
        <w:t>Knowledge of the organisational structures, systems, operations and performance in the local health sector</w:t>
      </w:r>
    </w:p>
    <w:p w14:paraId="4598F23B" w14:textId="77777777" w:rsidR="0027317D" w:rsidRPr="003321FF" w:rsidRDefault="0027317D" w:rsidP="0027317D">
      <w:pPr>
        <w:pStyle w:val="ListParagraph"/>
        <w:numPr>
          <w:ilvl w:val="0"/>
          <w:numId w:val="18"/>
        </w:numPr>
        <w:suppressAutoHyphens w:val="0"/>
        <w:spacing w:before="0" w:after="0"/>
        <w:contextualSpacing/>
        <w:jc w:val="left"/>
        <w:rPr>
          <w:rFonts w:ascii="Tahoma" w:hAnsi="Tahoma" w:cs="Tahoma"/>
          <w:sz w:val="20"/>
        </w:rPr>
      </w:pPr>
      <w:r w:rsidRPr="003321FF">
        <w:rPr>
          <w:rFonts w:ascii="Tahoma" w:hAnsi="Tahoma" w:cs="Tahoma"/>
          <w:sz w:val="20"/>
        </w:rPr>
        <w:t>A sound knowledge of development issues and results-based management system</w:t>
      </w:r>
    </w:p>
    <w:p w14:paraId="17919DBF" w14:textId="77777777" w:rsidR="0027317D" w:rsidRPr="003321FF" w:rsidRDefault="0027317D" w:rsidP="0027317D">
      <w:pPr>
        <w:pStyle w:val="ListParagraph"/>
        <w:numPr>
          <w:ilvl w:val="0"/>
          <w:numId w:val="18"/>
        </w:numPr>
        <w:suppressAutoHyphens w:val="0"/>
        <w:spacing w:before="0" w:after="0"/>
        <w:contextualSpacing/>
        <w:jc w:val="left"/>
        <w:rPr>
          <w:rFonts w:ascii="Tahoma" w:hAnsi="Tahoma" w:cs="Tahoma"/>
          <w:sz w:val="20"/>
        </w:rPr>
      </w:pPr>
      <w:r w:rsidRPr="003321FF">
        <w:rPr>
          <w:rFonts w:ascii="Tahoma" w:hAnsi="Tahoma" w:cs="Tahoma"/>
          <w:sz w:val="20"/>
        </w:rPr>
        <w:t>Experience in facilitating group discussions/ communication between the different levels of management and presentation of results</w:t>
      </w:r>
    </w:p>
    <w:p w14:paraId="3604C3C0" w14:textId="77777777" w:rsidR="00D95653" w:rsidRPr="001255E6" w:rsidRDefault="00D95653" w:rsidP="00D95653">
      <w:pPr>
        <w:pStyle w:val="ListParagraph"/>
        <w:widowControl w:val="0"/>
        <w:ind w:left="360"/>
        <w:rPr>
          <w:rFonts w:eastAsiaTheme="minorHAnsi"/>
          <w:color w:val="000000" w:themeColor="text1"/>
        </w:rPr>
      </w:pPr>
    </w:p>
    <w:p w14:paraId="74268A5B" w14:textId="29E4B982" w:rsidR="00240546" w:rsidRPr="001255E6" w:rsidRDefault="002D0A4A" w:rsidP="002D0A4A">
      <w:pPr>
        <w:pStyle w:val="Heading2"/>
      </w:pPr>
      <w:bookmarkStart w:id="33" w:name="_Toc47607332"/>
      <w:r w:rsidRPr="001255E6">
        <w:t xml:space="preserve">9. </w:t>
      </w:r>
      <w:r w:rsidR="00240546" w:rsidRPr="001255E6">
        <w:t>Characteristics of the Consultancy</w:t>
      </w:r>
      <w:bookmarkEnd w:id="33"/>
    </w:p>
    <w:p w14:paraId="0596B95A" w14:textId="77777777" w:rsidR="00240546" w:rsidRPr="001255E6" w:rsidRDefault="00240546" w:rsidP="00D95653">
      <w:pPr>
        <w:autoSpaceDE w:val="0"/>
        <w:autoSpaceDN w:val="0"/>
        <w:adjustRightInd w:val="0"/>
        <w:spacing w:before="0" w:after="11"/>
        <w:rPr>
          <w:rFonts w:cs="Arial"/>
          <w:color w:val="000000"/>
        </w:rPr>
      </w:pPr>
      <w:r w:rsidRPr="001255E6">
        <w:rPr>
          <w:rFonts w:cs="Arial"/>
          <w:color w:val="000000"/>
        </w:rPr>
        <w:t xml:space="preserve">Type of contract and modality: Products and External Services Contractual, Lump Sum </w:t>
      </w:r>
    </w:p>
    <w:p w14:paraId="02516194" w14:textId="69C8A457" w:rsidR="00240546" w:rsidRPr="001255E6" w:rsidRDefault="00240546" w:rsidP="004F7DD5">
      <w:pPr>
        <w:pStyle w:val="ListParagraph"/>
        <w:numPr>
          <w:ilvl w:val="0"/>
          <w:numId w:val="4"/>
        </w:numPr>
        <w:autoSpaceDE w:val="0"/>
        <w:autoSpaceDN w:val="0"/>
        <w:adjustRightInd w:val="0"/>
        <w:spacing w:before="0"/>
        <w:rPr>
          <w:rFonts w:cs="Arial"/>
          <w:color w:val="000000"/>
        </w:rPr>
      </w:pPr>
      <w:r w:rsidRPr="001255E6">
        <w:rPr>
          <w:rFonts w:cs="Arial"/>
          <w:color w:val="000000"/>
        </w:rPr>
        <w:t>Length of contract</w:t>
      </w:r>
      <w:r w:rsidR="00D95653" w:rsidRPr="001255E6">
        <w:rPr>
          <w:rFonts w:cs="Arial"/>
          <w:color w:val="000000"/>
        </w:rPr>
        <w:t>: 6 Months</w:t>
      </w:r>
    </w:p>
    <w:p w14:paraId="071920DE" w14:textId="6B5DC229" w:rsidR="00240546" w:rsidRPr="001255E6" w:rsidRDefault="00240546" w:rsidP="004F7DD5">
      <w:pPr>
        <w:pStyle w:val="ListParagraph"/>
        <w:numPr>
          <w:ilvl w:val="0"/>
          <w:numId w:val="4"/>
        </w:numPr>
        <w:autoSpaceDE w:val="0"/>
        <w:autoSpaceDN w:val="0"/>
        <w:adjustRightInd w:val="0"/>
        <w:spacing w:before="0"/>
        <w:rPr>
          <w:rFonts w:cs="Arial"/>
          <w:color w:val="000000"/>
        </w:rPr>
      </w:pPr>
      <w:r w:rsidRPr="001255E6">
        <w:rPr>
          <w:rFonts w:cs="Arial"/>
          <w:color w:val="000000"/>
        </w:rPr>
        <w:t xml:space="preserve">Starting date: </w:t>
      </w:r>
      <w:r w:rsidR="00A92A42" w:rsidRPr="001255E6">
        <w:rPr>
          <w:rFonts w:cs="Arial"/>
          <w:color w:val="000000"/>
        </w:rPr>
        <w:t xml:space="preserve"> September</w:t>
      </w:r>
      <w:r w:rsidR="001B120A" w:rsidRPr="001255E6">
        <w:rPr>
          <w:rFonts w:cs="Arial"/>
          <w:color w:val="000000"/>
        </w:rPr>
        <w:t xml:space="preserve"> 2020</w:t>
      </w:r>
      <w:r w:rsidRPr="001255E6">
        <w:rPr>
          <w:rFonts w:cs="Arial"/>
          <w:color w:val="000000"/>
        </w:rPr>
        <w:t xml:space="preserve">. </w:t>
      </w:r>
    </w:p>
    <w:p w14:paraId="6A0E9DAB" w14:textId="77777777" w:rsidR="00240546" w:rsidRPr="001255E6" w:rsidRDefault="00240546" w:rsidP="004F7DD5">
      <w:pPr>
        <w:pStyle w:val="ListParagraph"/>
        <w:numPr>
          <w:ilvl w:val="0"/>
          <w:numId w:val="4"/>
        </w:numPr>
        <w:autoSpaceDE w:val="0"/>
        <w:autoSpaceDN w:val="0"/>
        <w:adjustRightInd w:val="0"/>
        <w:spacing w:before="0"/>
        <w:rPr>
          <w:rFonts w:cs="Arial"/>
          <w:color w:val="000000"/>
        </w:rPr>
      </w:pPr>
      <w:r w:rsidRPr="001255E6">
        <w:rPr>
          <w:rFonts w:cs="Arial"/>
          <w:color w:val="000000"/>
        </w:rPr>
        <w:t xml:space="preserve">Location: External Consultancy. </w:t>
      </w:r>
    </w:p>
    <w:p w14:paraId="211DA2EC" w14:textId="18E568C8" w:rsidR="00662938" w:rsidRPr="001255E6" w:rsidRDefault="00240546" w:rsidP="004F7DD5">
      <w:pPr>
        <w:pStyle w:val="ListParagraph"/>
        <w:numPr>
          <w:ilvl w:val="0"/>
          <w:numId w:val="4"/>
        </w:numPr>
        <w:autoSpaceDE w:val="0"/>
        <w:autoSpaceDN w:val="0"/>
        <w:adjustRightInd w:val="0"/>
        <w:spacing w:before="0"/>
        <w:rPr>
          <w:rFonts w:cs="Arial"/>
          <w:szCs w:val="22"/>
        </w:rPr>
      </w:pPr>
      <w:r w:rsidRPr="001255E6">
        <w:rPr>
          <w:rFonts w:cs="Arial"/>
          <w:color w:val="000000"/>
        </w:rPr>
        <w:t>Responsible person:</w:t>
      </w:r>
      <w:r w:rsidR="00662938" w:rsidRPr="001255E6">
        <w:rPr>
          <w:rFonts w:cs="Arial"/>
          <w:color w:val="000000"/>
        </w:rPr>
        <w:t xml:space="preserve"> </w:t>
      </w:r>
      <w:r w:rsidR="00971095" w:rsidRPr="001255E6">
        <w:rPr>
          <w:rFonts w:cs="Arial"/>
          <w:color w:val="000000"/>
        </w:rPr>
        <w:t>MOHW</w:t>
      </w:r>
      <w:r w:rsidR="001B120A" w:rsidRPr="001255E6">
        <w:rPr>
          <w:rFonts w:cs="Arial"/>
          <w:color w:val="000000"/>
        </w:rPr>
        <w:t xml:space="preserve"> </w:t>
      </w:r>
      <w:r w:rsidR="00662938" w:rsidRPr="001255E6">
        <w:rPr>
          <w:rFonts w:cs="Arial"/>
          <w:color w:val="000000"/>
        </w:rPr>
        <w:t>Patrick Hunter</w:t>
      </w:r>
      <w:r w:rsidR="006E0188" w:rsidRPr="001255E6">
        <w:rPr>
          <w:rFonts w:cs="Arial"/>
          <w:color w:val="000000"/>
        </w:rPr>
        <w:t xml:space="preserve"> (Project Manager) </w:t>
      </w:r>
      <w:bookmarkStart w:id="34" w:name="_Hlk527644158"/>
    </w:p>
    <w:bookmarkEnd w:id="34"/>
    <w:p w14:paraId="5DE61689" w14:textId="77777777" w:rsidR="00240546" w:rsidRPr="001255E6" w:rsidRDefault="00240546" w:rsidP="00240546">
      <w:pPr>
        <w:rPr>
          <w:rFonts w:cs="Arial"/>
        </w:rPr>
      </w:pPr>
    </w:p>
    <w:p w14:paraId="08FB8DE9" w14:textId="77777777" w:rsidR="00E71C5C" w:rsidRPr="001255E6" w:rsidRDefault="00E71C5C">
      <w:pPr>
        <w:suppressAutoHyphens w:val="0"/>
        <w:spacing w:before="0" w:after="200" w:line="276" w:lineRule="auto"/>
        <w:jc w:val="left"/>
        <w:rPr>
          <w:rFonts w:asciiTheme="majorHAnsi" w:eastAsiaTheme="minorHAnsi" w:hAnsiTheme="majorHAnsi" w:cstheme="majorBidi"/>
          <w:color w:val="365F91" w:themeColor="accent1" w:themeShade="BF"/>
          <w:sz w:val="26"/>
          <w:szCs w:val="26"/>
        </w:rPr>
      </w:pPr>
      <w:r w:rsidRPr="001255E6">
        <w:rPr>
          <w:rFonts w:eastAsiaTheme="minorHAnsi"/>
        </w:rPr>
        <w:br w:type="page"/>
      </w:r>
    </w:p>
    <w:p w14:paraId="12147752" w14:textId="25DF7796" w:rsidR="00662938" w:rsidRPr="001255E6" w:rsidRDefault="00662938" w:rsidP="0087186D">
      <w:pPr>
        <w:pStyle w:val="Heading2"/>
        <w:rPr>
          <w:rFonts w:ascii="Arial" w:eastAsiaTheme="minorHAnsi" w:hAnsi="Arial"/>
          <w:sz w:val="22"/>
        </w:rPr>
      </w:pPr>
      <w:bookmarkStart w:id="35" w:name="_Toc47607333"/>
      <w:r w:rsidRPr="001255E6">
        <w:rPr>
          <w:rFonts w:eastAsiaTheme="minorHAnsi"/>
        </w:rPr>
        <w:lastRenderedPageBreak/>
        <w:t>Annex A.</w:t>
      </w:r>
      <w:bookmarkStart w:id="36" w:name="_Toc519094811"/>
      <w:bookmarkEnd w:id="35"/>
    </w:p>
    <w:p w14:paraId="1B3F866D" w14:textId="58C0886A" w:rsidR="00240546" w:rsidRPr="001255E6" w:rsidRDefault="00240546" w:rsidP="0087186D">
      <w:pPr>
        <w:pStyle w:val="Heading3"/>
      </w:pPr>
      <w:r w:rsidRPr="001255E6">
        <w:t xml:space="preserve"> </w:t>
      </w:r>
      <w:bookmarkStart w:id="37" w:name="_Toc47607334"/>
      <w:r w:rsidRPr="001255E6">
        <w:t>Impact Evaluation</w:t>
      </w:r>
      <w:bookmarkEnd w:id="36"/>
      <w:r w:rsidR="0087186D" w:rsidRPr="001255E6">
        <w:t>:</w:t>
      </w:r>
      <w:bookmarkStart w:id="38" w:name="_Toc519094812"/>
      <w:r w:rsidR="0087186D" w:rsidRPr="001255E6">
        <w:t xml:space="preserve"> </w:t>
      </w:r>
      <w:r w:rsidRPr="001255E6">
        <w:t>Existing evidence base</w:t>
      </w:r>
      <w:bookmarkEnd w:id="37"/>
      <w:bookmarkEnd w:id="38"/>
      <w:r w:rsidRPr="001255E6">
        <w:t xml:space="preserve"> </w:t>
      </w:r>
    </w:p>
    <w:p w14:paraId="6F14D3C5" w14:textId="5716F5BF" w:rsidR="00240546" w:rsidRPr="001255E6" w:rsidRDefault="00240546" w:rsidP="009E4938">
      <w:pPr>
        <w:pStyle w:val="Paragraph"/>
        <w:ind w:left="0"/>
        <w:outlineLvl w:val="9"/>
        <w:rPr>
          <w:rFonts w:ascii="Arial" w:hAnsi="Arial" w:cs="Arial"/>
          <w:sz w:val="22"/>
          <w:szCs w:val="22"/>
        </w:rPr>
      </w:pPr>
      <w:r w:rsidRPr="001255E6">
        <w:rPr>
          <w:rFonts w:ascii="Arial" w:hAnsi="Arial" w:cs="Arial"/>
          <w:sz w:val="22"/>
          <w:szCs w:val="22"/>
        </w:rPr>
        <w:t xml:space="preserve">Unlike most other groups of diseases, NCDs require management and control for extended periods of time, with high level of involvement of both patients, and participation and coordination of multiple healthcare providers (Glassman et al, 2010). The full range of care for management of NCDs includes strategies from primary prevention (preventing the onset of disease by reducing </w:t>
      </w:r>
      <w:r w:rsidRPr="001255E6">
        <w:rPr>
          <w:rFonts w:ascii="Arial" w:hAnsi="Arial" w:cs="Arial"/>
          <w:color w:val="000000"/>
          <w:sz w:val="22"/>
          <w:szCs w:val="22"/>
        </w:rPr>
        <w:t>exposure</w:t>
      </w:r>
      <w:r w:rsidRPr="001255E6">
        <w:rPr>
          <w:rFonts w:ascii="Arial" w:hAnsi="Arial" w:cs="Arial"/>
          <w:sz w:val="22"/>
          <w:szCs w:val="22"/>
        </w:rPr>
        <w:t xml:space="preserve"> to risk factors), secondary prevention (preventing the full development of disease in patients by detecting early symptoms and treating diagnosed cases), treatment and rehabilitation of acute cases (e.g. cardiac surgery), and palliative care (improving quality of life for patients in life-threatening conditions). Given high costs treatment of acute cases, successful approaches to management and control of NCDs emphasize primary and secondary prevention, and patient involvement is particularly important at these stages (Demaio et al, 2014). In the case of Jamaica, there was a significant progress on the NCDs response, both in service provision and prevention. However, the NCDs continue to pose a major and growing challenge in the country, being the four main NCDs: cardiovascular disease, diabetes, chronic respiratory </w:t>
      </w:r>
      <w:r w:rsidR="00424B33" w:rsidRPr="001255E6">
        <w:rPr>
          <w:rFonts w:ascii="Arial" w:hAnsi="Arial" w:cs="Arial"/>
          <w:sz w:val="22"/>
          <w:szCs w:val="22"/>
        </w:rPr>
        <w:t>disease,</w:t>
      </w:r>
      <w:r w:rsidRPr="001255E6">
        <w:rPr>
          <w:rFonts w:ascii="Arial" w:hAnsi="Arial" w:cs="Arial"/>
          <w:sz w:val="22"/>
          <w:szCs w:val="22"/>
        </w:rPr>
        <w:t xml:space="preserve"> and cancer. The country is not on track to meet the overall regional NCD goal of 15% reduction in premature mortality by 2019. </w:t>
      </w:r>
      <w:r w:rsidRPr="001255E6">
        <w:rPr>
          <w:rStyle w:val="FootnoteReference"/>
          <w:rFonts w:ascii="Arial" w:hAnsi="Arial"/>
          <w:sz w:val="22"/>
        </w:rPr>
        <w:footnoteReference w:id="4"/>
      </w:r>
    </w:p>
    <w:p w14:paraId="0D0D2B0C" w14:textId="77777777" w:rsidR="00240546" w:rsidRPr="001255E6" w:rsidRDefault="00240546" w:rsidP="009E4938">
      <w:pPr>
        <w:pStyle w:val="Paragraph"/>
        <w:ind w:left="0"/>
        <w:outlineLvl w:val="9"/>
        <w:rPr>
          <w:rFonts w:ascii="Arial" w:hAnsi="Arial" w:cs="Arial"/>
          <w:color w:val="333333"/>
          <w:sz w:val="22"/>
          <w:szCs w:val="22"/>
          <w:lang w:eastAsia="zh-CN"/>
        </w:rPr>
      </w:pPr>
      <w:r w:rsidRPr="001255E6">
        <w:rPr>
          <w:rFonts w:ascii="Arial" w:hAnsi="Arial" w:cs="Arial"/>
          <w:sz w:val="22"/>
          <w:szCs w:val="22"/>
        </w:rPr>
        <w:t>While guidelines and protocols of clinical interventions have already been thoroughly developed in the literature and there are effective pharmacological treatments for most cases (McGuire et al, 2016), successful treatment also depend that patients adhere to prescribe treatment taking pills regularly, monitor basic health indicators such as weight and blood sugar levels, maintain a healthy diet and engage in physical activity, and abstain from smoking and excessive alcohol consumption (NICE, 2017). In this case, effective interventions have been less documented in the literature, especially in the context of the Caribbean region. Also, it is well established that although the clinical effectiveness of interventions has been established, the challenge in public health is the implementation in the real world, a challenge that is particular important in the context of developing countries such as Jamaica. So, the evaluation will focus on the impacts of the implementation of the policies in the Jamaican context.</w:t>
      </w:r>
    </w:p>
    <w:p w14:paraId="4D393636" w14:textId="5E920732" w:rsidR="00240546" w:rsidRPr="001255E6" w:rsidRDefault="00240546" w:rsidP="009E4938">
      <w:pPr>
        <w:pStyle w:val="Paragraph"/>
        <w:ind w:left="0"/>
        <w:outlineLvl w:val="9"/>
        <w:rPr>
          <w:rFonts w:ascii="Arial" w:hAnsi="Arial" w:cs="Arial"/>
          <w:color w:val="000000"/>
          <w:sz w:val="22"/>
          <w:szCs w:val="22"/>
        </w:rPr>
      </w:pPr>
      <w:r w:rsidRPr="001255E6">
        <w:rPr>
          <w:rFonts w:ascii="Arial" w:hAnsi="Arial" w:cs="Arial"/>
          <w:sz w:val="22"/>
          <w:szCs w:val="22"/>
        </w:rPr>
        <w:t>On p</w:t>
      </w:r>
      <w:r w:rsidRPr="001255E6">
        <w:rPr>
          <w:rFonts w:ascii="Arial" w:eastAsia="Arial" w:hAnsi="Arial" w:cs="Arial"/>
          <w:color w:val="000000"/>
          <w:sz w:val="22"/>
          <w:szCs w:val="22"/>
        </w:rPr>
        <w:t xml:space="preserve">roviding </w:t>
      </w:r>
      <w:r w:rsidRPr="001255E6">
        <w:rPr>
          <w:rFonts w:ascii="Arial" w:eastAsia="Arial" w:hAnsi="Arial" w:cs="Arial"/>
          <w:sz w:val="22"/>
          <w:szCs w:val="22"/>
        </w:rPr>
        <w:t>high quality services, evidence indicates that health systems that adopt the Chronic Care Model (CCM) within primary health care are more effective and efficient in managing and controlling NCDs (Hansen et al 2015; Bodenheimer et al 2002). The CCM’s principle is patient-</w:t>
      </w:r>
      <w:r w:rsidR="006C1325" w:rsidRPr="001255E6">
        <w:rPr>
          <w:rFonts w:ascii="Arial" w:eastAsia="Arial" w:hAnsi="Arial" w:cs="Arial"/>
          <w:sz w:val="22"/>
          <w:szCs w:val="22"/>
        </w:rPr>
        <w:t>centred</w:t>
      </w:r>
      <w:r w:rsidRPr="001255E6">
        <w:rPr>
          <w:rFonts w:ascii="Arial" w:eastAsia="Arial" w:hAnsi="Arial" w:cs="Arial"/>
          <w:sz w:val="22"/>
          <w:szCs w:val="22"/>
        </w:rPr>
        <w:t xml:space="preserve"> care, meaning patients are treated holistically (i.e., considering context, all health </w:t>
      </w:r>
      <w:r w:rsidR="00424B33" w:rsidRPr="001255E6">
        <w:rPr>
          <w:rFonts w:ascii="Arial" w:eastAsia="Arial" w:hAnsi="Arial" w:cs="Arial"/>
          <w:sz w:val="22"/>
          <w:szCs w:val="22"/>
        </w:rPr>
        <w:t>problems,</w:t>
      </w:r>
      <w:r w:rsidR="00C752B4">
        <w:rPr>
          <w:rFonts w:ascii="Arial" w:eastAsia="Arial" w:hAnsi="Arial" w:cs="Arial"/>
          <w:sz w:val="22"/>
          <w:szCs w:val="22"/>
        </w:rPr>
        <w:t xml:space="preserve"> </w:t>
      </w:r>
      <w:r w:rsidRPr="001255E6">
        <w:rPr>
          <w:rFonts w:ascii="Arial" w:eastAsia="Arial" w:hAnsi="Arial" w:cs="Arial"/>
          <w:sz w:val="22"/>
          <w:szCs w:val="22"/>
        </w:rPr>
        <w:t>and needs), and are supported in learning self-management of their condition (Mahomed et al, 2015). Healthcare teams develop patient-</w:t>
      </w:r>
      <w:r w:rsidR="006C1325" w:rsidRPr="001255E6">
        <w:rPr>
          <w:rFonts w:ascii="Arial" w:eastAsia="Arial" w:hAnsi="Arial" w:cs="Arial"/>
          <w:sz w:val="22"/>
          <w:szCs w:val="22"/>
        </w:rPr>
        <w:t>centred</w:t>
      </w:r>
      <w:r w:rsidRPr="001255E6">
        <w:rPr>
          <w:rFonts w:ascii="Arial" w:eastAsia="Arial" w:hAnsi="Arial" w:cs="Arial"/>
          <w:sz w:val="22"/>
          <w:szCs w:val="22"/>
        </w:rPr>
        <w:t xml:space="preserve"> treatment goals, plans, and interventions, implementing them across the full care pathway. The delivery network is set up to provide multidisciplinary primary care that covers the entire population, serving as a gateway to the system which integrates and coordinates health care across levels, including the community (Scholl et al 2014). </w:t>
      </w:r>
    </w:p>
    <w:p w14:paraId="26E1A111" w14:textId="027FD325" w:rsidR="00240546" w:rsidRPr="001255E6" w:rsidRDefault="00240546" w:rsidP="009E4938">
      <w:pPr>
        <w:pStyle w:val="Paragraph"/>
        <w:ind w:left="0"/>
        <w:outlineLvl w:val="9"/>
        <w:rPr>
          <w:rFonts w:ascii="Arial" w:eastAsia="Arial" w:hAnsi="Arial" w:cs="Arial"/>
          <w:color w:val="000000"/>
          <w:sz w:val="22"/>
          <w:szCs w:val="22"/>
        </w:rPr>
      </w:pPr>
      <w:r w:rsidRPr="001255E6">
        <w:rPr>
          <w:rFonts w:ascii="Arial" w:eastAsia="Arial" w:hAnsi="Arial" w:cs="Arial"/>
          <w:color w:val="000000"/>
          <w:sz w:val="22"/>
          <w:szCs w:val="22"/>
        </w:rPr>
        <w:t xml:space="preserve">Evidence shows that in this supported context, interaction between informed, engaged patients and proactive primary care teams sustainably and consistently improves clinical results (Cramm and Nieboer 2014). To achieve the largest improvements in health outcomes, the literature and country experiences point towards actions in the following specific areas for CCM development: </w:t>
      </w:r>
      <w:r w:rsidRPr="001255E6">
        <w:rPr>
          <w:rFonts w:ascii="Arial" w:eastAsia="Arial" w:hAnsi="Arial" w:cs="Arial"/>
          <w:color w:val="000000"/>
          <w:sz w:val="22"/>
          <w:szCs w:val="22"/>
        </w:rPr>
        <w:lastRenderedPageBreak/>
        <w:t xml:space="preserve">(i) digital information systems (electronic records, disease registries); (ii) tools for planning and quality improvement; (iii) decision support tools for providers (guidelines); (iv) integration of services (multi-disciplinary care delivery, care coordination mechanisms); (v) self-management support for patients (education, </w:t>
      </w:r>
      <w:r w:rsidR="006C1325" w:rsidRPr="001255E6">
        <w:rPr>
          <w:rFonts w:ascii="Arial" w:eastAsia="Arial" w:hAnsi="Arial" w:cs="Arial"/>
          <w:color w:val="000000"/>
          <w:sz w:val="22"/>
          <w:szCs w:val="22"/>
        </w:rPr>
        <w:t>behaviour</w:t>
      </w:r>
      <w:r w:rsidRPr="001255E6">
        <w:rPr>
          <w:rFonts w:ascii="Arial" w:eastAsia="Arial" w:hAnsi="Arial" w:cs="Arial"/>
          <w:color w:val="000000"/>
          <w:sz w:val="22"/>
          <w:szCs w:val="22"/>
        </w:rPr>
        <w:t xml:space="preserve"> change incentives); and (vi) creation and leverage of community resources (Gaudreault and Muhire, 2014).</w:t>
      </w:r>
    </w:p>
    <w:p w14:paraId="38ECCEC9" w14:textId="77777777" w:rsidR="00240546" w:rsidRPr="001255E6" w:rsidRDefault="00240546" w:rsidP="009E4938">
      <w:pPr>
        <w:pStyle w:val="Paragraph"/>
        <w:ind w:left="0"/>
        <w:outlineLvl w:val="9"/>
        <w:rPr>
          <w:rFonts w:ascii="Arial" w:eastAsia="Arial" w:hAnsi="Arial" w:cs="Arial"/>
          <w:color w:val="000000"/>
          <w:sz w:val="22"/>
          <w:szCs w:val="22"/>
        </w:rPr>
      </w:pPr>
      <w:r w:rsidRPr="001255E6">
        <w:rPr>
          <w:rFonts w:ascii="Arial" w:eastAsia="Arial" w:hAnsi="Arial" w:cs="Arial"/>
          <w:color w:val="000000"/>
          <w:sz w:val="22"/>
          <w:szCs w:val="22"/>
        </w:rPr>
        <w:t xml:space="preserve">To our knowledge, no rigorous evaluation of the impact of self-care support component of the CCM on NCDs in the context of the Caribbean region has been published in the peer-reviewed literature so far. Elsewhere, a recent review (Baptista et al, 2016) has identified ten studies that addressed user empowerment for patients who manage their own care. A few of these studies have identified impacts on relevant clinical outcomes, but the evidence is still inconclusive. Recent publications have begun to tap into other sources of innovation for diabetic care, namely the use of information and communication technology (ICT) and insights from behavioural economics. </w:t>
      </w:r>
    </w:p>
    <w:p w14:paraId="02BC0158" w14:textId="77777777" w:rsidR="004B59E8" w:rsidRPr="001255E6" w:rsidRDefault="004B59E8" w:rsidP="00C04E6E">
      <w:pPr>
        <w:pStyle w:val="Heading3"/>
      </w:pPr>
      <w:bookmarkStart w:id="39" w:name="_Toc47607335"/>
      <w:r w:rsidRPr="001255E6">
        <w:t>Evaluation Methodology</w:t>
      </w:r>
      <w:bookmarkEnd w:id="27"/>
      <w:bookmarkEnd w:id="39"/>
      <w:r w:rsidRPr="001255E6">
        <w:t xml:space="preserve"> </w:t>
      </w:r>
    </w:p>
    <w:p w14:paraId="018C34FC" w14:textId="08B5FE0E" w:rsidR="004B59E8" w:rsidRPr="001255E6" w:rsidRDefault="004B59E8" w:rsidP="009E4938">
      <w:pPr>
        <w:pStyle w:val="Paragraph"/>
        <w:ind w:left="0"/>
        <w:outlineLvl w:val="9"/>
        <w:rPr>
          <w:rFonts w:ascii="Arial" w:hAnsi="Arial" w:cs="Arial"/>
          <w:sz w:val="22"/>
          <w:szCs w:val="22"/>
        </w:rPr>
      </w:pPr>
      <w:r w:rsidRPr="001255E6">
        <w:rPr>
          <w:rFonts w:ascii="Arial" w:hAnsi="Arial" w:cs="Arial"/>
          <w:sz w:val="22"/>
          <w:szCs w:val="22"/>
        </w:rPr>
        <w:t>The main methodology to be used to estimate impacts of the programme will be differences in differences (DID). This methodology compares the same unit of analysis, for example health centre, in time using data for periods before and after the implementation of a public policy or programme with other units that were not intervened.  In Figure IV.1, it is graphically represented what this analysis estimates. The horizontal axis in the graph is time and the vertical axis represents levels of a result variable of interest, for example number of patients that attend a health centre to manage their NCD conditions properly.</w:t>
      </w:r>
    </w:p>
    <w:p w14:paraId="7AD95ADF" w14:textId="4BD5C01E" w:rsidR="004B59E8" w:rsidRPr="001255E6" w:rsidRDefault="004B59E8" w:rsidP="009E4938">
      <w:pPr>
        <w:pStyle w:val="Paragraph"/>
        <w:ind w:left="0"/>
        <w:outlineLvl w:val="9"/>
        <w:rPr>
          <w:rFonts w:ascii="Arial" w:hAnsi="Arial" w:cs="Arial"/>
          <w:sz w:val="22"/>
          <w:szCs w:val="22"/>
        </w:rPr>
      </w:pPr>
      <w:r w:rsidRPr="001255E6">
        <w:rPr>
          <w:rFonts w:ascii="Arial" w:hAnsi="Arial" w:cs="Arial"/>
          <w:sz w:val="22"/>
          <w:szCs w:val="22"/>
        </w:rPr>
        <w:t xml:space="preserve">The green line (group below) represents the treatment group, i.e. those health centres in which the programme will be implemented and the Red Line (line above) represents the comparison group, those health centres that will not be intervened. The first thing to appreciate is that in the pre-intervention period (extensive time series may be taken) there are different levels between treatment group units and comparison group units. </w:t>
      </w:r>
      <w:r w:rsidR="00424B33" w:rsidRPr="001255E6">
        <w:rPr>
          <w:rFonts w:ascii="Arial" w:hAnsi="Arial" w:cs="Arial"/>
          <w:sz w:val="22"/>
          <w:szCs w:val="22"/>
        </w:rPr>
        <w:t>For</w:t>
      </w:r>
      <w:r w:rsidRPr="001255E6">
        <w:rPr>
          <w:rFonts w:ascii="Arial" w:hAnsi="Arial" w:cs="Arial"/>
          <w:sz w:val="22"/>
          <w:szCs w:val="22"/>
        </w:rPr>
        <w:t xml:space="preserve"> this example, the treatment group presents levels (solid lines) the share of diabetic patients properly managed below the observed level for the comparison group. This may or may not be the case, as by not having a random allocation, it is common to see that treatment and comparison group analysis units have differences before the intervention. The method of differences in differences correct by these </w:t>
      </w:r>
      <w:r w:rsidR="001354B4" w:rsidRPr="001255E6">
        <w:rPr>
          <w:rFonts w:ascii="Arial" w:hAnsi="Arial" w:cs="Arial"/>
          <w:sz w:val="22"/>
          <w:szCs w:val="22"/>
        </w:rPr>
        <w:t>differences’</w:t>
      </w:r>
      <w:r w:rsidRPr="001255E6">
        <w:rPr>
          <w:rFonts w:ascii="Arial" w:hAnsi="Arial" w:cs="Arial"/>
          <w:sz w:val="22"/>
          <w:szCs w:val="22"/>
        </w:rPr>
        <w:t xml:space="preserve"> pre-programme for the estimation of the impacts.</w:t>
      </w:r>
    </w:p>
    <w:p w14:paraId="7F801E1B" w14:textId="77777777" w:rsidR="004B59E8" w:rsidRPr="001255E6" w:rsidRDefault="004B59E8" w:rsidP="009E4938">
      <w:pPr>
        <w:pStyle w:val="Paragraph"/>
        <w:ind w:left="0"/>
        <w:outlineLvl w:val="9"/>
        <w:rPr>
          <w:rFonts w:ascii="Arial" w:hAnsi="Arial" w:cs="Arial"/>
          <w:sz w:val="22"/>
          <w:szCs w:val="22"/>
        </w:rPr>
      </w:pPr>
      <w:r w:rsidRPr="001255E6">
        <w:rPr>
          <w:rFonts w:ascii="Arial" w:hAnsi="Arial" w:cs="Arial"/>
          <w:sz w:val="22"/>
          <w:szCs w:val="22"/>
        </w:rPr>
        <w:t>The fundamental assumption behind this method is that, in the absence of treatment, the treated group experienced the same tendencies or tendencies parallel to the comparison group during the treatment period.  This scenario, known as the counterfactual scenario, is represented by the green line dotted in figure IV.1.  Although this scenario cannot be confirmed with the observed data, because by construction it is not observable, a common practice is to revise if the tendencies between treatment group and comparison group behave in a similar way in the period prior to the Intervention. In Figure IV.1 this is the case.</w:t>
      </w:r>
    </w:p>
    <w:p w14:paraId="710FDDA1" w14:textId="77777777" w:rsidR="004B59E8" w:rsidRPr="001255E6" w:rsidRDefault="004B59E8" w:rsidP="009E4938">
      <w:pPr>
        <w:pStyle w:val="Paragraph"/>
        <w:ind w:left="0"/>
        <w:jc w:val="center"/>
        <w:outlineLvl w:val="9"/>
        <w:rPr>
          <w:rFonts w:ascii="Arial" w:hAnsi="Arial" w:cs="Arial"/>
          <w:b/>
          <w:sz w:val="18"/>
          <w:szCs w:val="18"/>
        </w:rPr>
      </w:pPr>
      <w:r w:rsidRPr="001255E6">
        <w:rPr>
          <w:rFonts w:ascii="Arial" w:hAnsi="Arial" w:cs="Arial"/>
          <w:b/>
          <w:sz w:val="18"/>
          <w:szCs w:val="18"/>
        </w:rPr>
        <w:t>Figure IV.1: Graphic representation of a difference in differences model</w:t>
      </w:r>
    </w:p>
    <w:p w14:paraId="08B65204" w14:textId="77777777" w:rsidR="004B59E8" w:rsidRPr="001255E6" w:rsidRDefault="004B59E8" w:rsidP="002B5F9F">
      <w:pPr>
        <w:pStyle w:val="Paragraph"/>
        <w:ind w:left="0"/>
        <w:jc w:val="center"/>
        <w:outlineLvl w:val="9"/>
        <w:rPr>
          <w:rFonts w:ascii="Arial" w:hAnsi="Arial" w:cs="Arial"/>
          <w:sz w:val="22"/>
          <w:szCs w:val="22"/>
        </w:rPr>
      </w:pPr>
      <w:r w:rsidRPr="001255E6">
        <w:rPr>
          <w:rFonts w:ascii="Arial" w:hAnsi="Arial" w:cs="Arial"/>
          <w:noProof/>
          <w:sz w:val="22"/>
          <w:szCs w:val="22"/>
          <w:lang w:val="en-JM" w:eastAsia="en-JM"/>
        </w:rPr>
        <w:lastRenderedPageBreak/>
        <w:drawing>
          <wp:inline distT="0" distB="0" distL="0" distR="0" wp14:anchorId="491EF145" wp14:editId="4685D35E">
            <wp:extent cx="4399080" cy="26289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14145" cy="2637903"/>
                    </a:xfrm>
                    <a:prstGeom prst="rect">
                      <a:avLst/>
                    </a:prstGeom>
                  </pic:spPr>
                </pic:pic>
              </a:graphicData>
            </a:graphic>
          </wp:inline>
        </w:drawing>
      </w:r>
    </w:p>
    <w:p w14:paraId="557525EA" w14:textId="77777777" w:rsidR="004B59E8" w:rsidRPr="001255E6" w:rsidRDefault="004B59E8" w:rsidP="009E4938">
      <w:pPr>
        <w:pStyle w:val="Paragraph"/>
        <w:ind w:left="0"/>
        <w:outlineLvl w:val="9"/>
        <w:rPr>
          <w:rFonts w:ascii="Arial" w:hAnsi="Arial" w:cs="Arial"/>
          <w:sz w:val="22"/>
          <w:szCs w:val="22"/>
        </w:rPr>
      </w:pPr>
      <w:r w:rsidRPr="001255E6">
        <w:rPr>
          <w:rFonts w:ascii="Arial" w:hAnsi="Arial" w:cs="Arial"/>
          <w:sz w:val="22"/>
          <w:szCs w:val="22"/>
        </w:rPr>
        <w:t>The parameter we seek to estimate is the difference between the green dotted line and the green solid line in the post-intervention period.  But by not observing the dotted green line, it is necessary to replicate it with the observed data for the comparison group in the post-intervention period.  This is possible, if and only if the assumption that the tendencies between the counterfactual (dotted green line) and the observed comparison group are identical.  If so, then we can estimate the effect of treatment by compared differences between pre-and post-programme groups. The key assumption in identifying the impacts of a difference-in-differences model is that the counterfactual trend of the treatment group is the same as the trend of the comparison group</w:t>
      </w:r>
      <w:r w:rsidRPr="001255E6">
        <w:rPr>
          <w:rStyle w:val="FootnoteReference"/>
          <w:rFonts w:ascii="Arial" w:hAnsi="Arial"/>
          <w:sz w:val="22"/>
        </w:rPr>
        <w:footnoteReference w:id="5"/>
      </w:r>
      <w:r w:rsidRPr="001255E6">
        <w:rPr>
          <w:rFonts w:ascii="Arial" w:hAnsi="Arial" w:cs="Arial"/>
          <w:sz w:val="22"/>
          <w:szCs w:val="22"/>
        </w:rPr>
        <w:t>.</w:t>
      </w:r>
    </w:p>
    <w:p w14:paraId="0A3C6045" w14:textId="77777777" w:rsidR="004B59E8" w:rsidRPr="001255E6" w:rsidRDefault="004B59E8" w:rsidP="009E4938">
      <w:pPr>
        <w:pStyle w:val="Paragraph"/>
        <w:ind w:left="0"/>
        <w:outlineLvl w:val="9"/>
        <w:rPr>
          <w:rFonts w:ascii="Arial" w:hAnsi="Arial" w:cs="Arial"/>
          <w:i/>
          <w:sz w:val="22"/>
          <w:szCs w:val="22"/>
        </w:rPr>
      </w:pPr>
      <w:r w:rsidRPr="001255E6">
        <w:rPr>
          <w:rFonts w:ascii="Arial" w:hAnsi="Arial" w:cs="Arial"/>
          <w:sz w:val="22"/>
          <w:szCs w:val="22"/>
        </w:rPr>
        <w:t>This analysis at the patient level within the health centres, with 10 health centres as treatment and 10 as comparison. Given that the program will intervene in only three hospitals, the analysis at that level will be used to complete the health centre analysis. It is intended to collect similar data at the hospital level for other similar hospitals, but a statistically valid analysis is unlikely to be feasible.</w:t>
      </w:r>
      <w:bookmarkStart w:id="40" w:name="_Toc519094817"/>
    </w:p>
    <w:p w14:paraId="4945FDE0" w14:textId="77777777" w:rsidR="004B59E8" w:rsidRPr="001255E6" w:rsidRDefault="004B59E8" w:rsidP="00C04E6E">
      <w:pPr>
        <w:pStyle w:val="Heading3"/>
      </w:pPr>
      <w:bookmarkStart w:id="41" w:name="_Toc47607336"/>
      <w:r w:rsidRPr="001255E6">
        <w:t>Sample Selection and Statistical Power</w:t>
      </w:r>
      <w:bookmarkEnd w:id="40"/>
      <w:bookmarkEnd w:id="41"/>
    </w:p>
    <w:p w14:paraId="1D2946CE" w14:textId="38EEBDE8" w:rsidR="004B59E8" w:rsidRPr="001255E6" w:rsidRDefault="004B59E8" w:rsidP="00022876">
      <w:pPr>
        <w:rPr>
          <w:highlight w:val="yellow"/>
        </w:rPr>
      </w:pPr>
      <w:r w:rsidRPr="001255E6">
        <w:t xml:space="preserve">This programme will intervene directly in 10 </w:t>
      </w:r>
      <w:r w:rsidR="00EF118F" w:rsidRPr="001255E6">
        <w:t>health</w:t>
      </w:r>
      <w:r w:rsidRPr="001255E6">
        <w:t xml:space="preserve"> centres, so that is the maximum number of treatment units. For this exercise we assume that 20 health centres will be selected as comparison units (although this number could increase, due to cost considerations and limited increase in statistical power, we will use the same number of treatment and comparison units). In each health centre a sample of 50 patients will be randomly selected that will answer a survey instrument (details below). With these basic set up an assuming an intra-cluster correlation of 0.1, the minimum detectable effect is 0.37 standard deviations, which is considered a sensible impact. Comparison health centres will be selected from </w:t>
      </w:r>
      <w:r w:rsidR="00E60528" w:rsidRPr="001255E6">
        <w:t>neighbouring</w:t>
      </w:r>
      <w:r w:rsidRPr="001255E6">
        <w:t xml:space="preserve"> parishes and will be selected </w:t>
      </w:r>
      <w:r w:rsidR="00424B33" w:rsidRPr="001255E6">
        <w:t>to</w:t>
      </w:r>
      <w:r w:rsidRPr="001255E6">
        <w:t xml:space="preserve"> have similar population size, </w:t>
      </w:r>
      <w:r w:rsidR="00424B33" w:rsidRPr="001255E6">
        <w:t>gender,</w:t>
      </w:r>
      <w:r w:rsidRPr="001255E6">
        <w:t xml:space="preserve"> and age distribution as well as population density per heath centre to have similar access to health care. Health centres will also be selected as part of a health network so comparison hospitals will also be selected.</w:t>
      </w:r>
      <w:r w:rsidRPr="001255E6">
        <w:rPr>
          <w:highlight w:val="yellow"/>
        </w:rPr>
        <w:t xml:space="preserve"> </w:t>
      </w:r>
    </w:p>
    <w:p w14:paraId="538E0ACD" w14:textId="77777777" w:rsidR="004B59E8" w:rsidRPr="001255E6" w:rsidRDefault="004B59E8" w:rsidP="009E4938">
      <w:pPr>
        <w:pStyle w:val="Paragraph"/>
        <w:ind w:left="0"/>
        <w:jc w:val="center"/>
        <w:outlineLvl w:val="9"/>
        <w:rPr>
          <w:rFonts w:ascii="Arial" w:hAnsi="Arial" w:cs="Arial"/>
          <w:b/>
          <w:sz w:val="18"/>
          <w:szCs w:val="18"/>
        </w:rPr>
      </w:pPr>
      <w:r w:rsidRPr="001255E6">
        <w:rPr>
          <w:rFonts w:ascii="Arial" w:hAnsi="Arial" w:cs="Arial"/>
          <w:b/>
          <w:sz w:val="18"/>
          <w:szCs w:val="18"/>
        </w:rPr>
        <w:t>Table 5. Power Analysis</w:t>
      </w:r>
    </w:p>
    <w:p w14:paraId="0B413CA2" w14:textId="77777777" w:rsidR="004B59E8" w:rsidRPr="001255E6" w:rsidRDefault="004B59E8" w:rsidP="004B59E8">
      <w:pPr>
        <w:pStyle w:val="Paragraph"/>
        <w:ind w:left="0"/>
        <w:jc w:val="center"/>
        <w:outlineLvl w:val="9"/>
        <w:rPr>
          <w:rFonts w:ascii="Arial" w:hAnsi="Arial" w:cs="Arial"/>
          <w:sz w:val="22"/>
          <w:szCs w:val="22"/>
        </w:rPr>
      </w:pPr>
      <w:r w:rsidRPr="001255E6">
        <w:rPr>
          <w:rFonts w:ascii="Arial" w:hAnsi="Arial" w:cs="Arial"/>
          <w:noProof/>
          <w:lang w:val="en-JM" w:eastAsia="en-JM"/>
        </w:rPr>
        <w:lastRenderedPageBreak/>
        <w:drawing>
          <wp:inline distT="0" distB="0" distL="0" distR="0" wp14:anchorId="741C7D24" wp14:editId="03F9BA81">
            <wp:extent cx="5486400" cy="25876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86400" cy="2587625"/>
                    </a:xfrm>
                    <a:prstGeom prst="rect">
                      <a:avLst/>
                    </a:prstGeom>
                  </pic:spPr>
                </pic:pic>
              </a:graphicData>
            </a:graphic>
          </wp:inline>
        </w:drawing>
      </w:r>
    </w:p>
    <w:p w14:paraId="60BFC461" w14:textId="77777777" w:rsidR="004B59E8" w:rsidRPr="001255E6" w:rsidRDefault="004B59E8" w:rsidP="009E4938">
      <w:pPr>
        <w:pStyle w:val="Paragraph"/>
        <w:ind w:left="0"/>
        <w:outlineLvl w:val="9"/>
        <w:rPr>
          <w:rFonts w:ascii="Arial" w:hAnsi="Arial" w:cs="Arial"/>
          <w:sz w:val="22"/>
          <w:szCs w:val="22"/>
        </w:rPr>
      </w:pPr>
      <w:r w:rsidRPr="001255E6">
        <w:rPr>
          <w:rFonts w:ascii="Arial" w:hAnsi="Arial" w:cs="Arial"/>
          <w:sz w:val="22"/>
          <w:szCs w:val="22"/>
        </w:rPr>
        <w:t>This analysis is valid for indicators at the individual level, so in the preparatory work for the evaluation we will focus on establishing indicators at that level. We will also compute indicators at the health centre using records (both reports that health centres complete regularly as by examining a sample of records).</w:t>
      </w:r>
    </w:p>
    <w:p w14:paraId="37DD998D" w14:textId="7FFFFD46" w:rsidR="004B59E8" w:rsidRPr="001255E6" w:rsidRDefault="004B59E8" w:rsidP="009E4938">
      <w:pPr>
        <w:pStyle w:val="Paragraph"/>
        <w:ind w:left="0"/>
        <w:outlineLvl w:val="9"/>
        <w:rPr>
          <w:rFonts w:ascii="Arial" w:hAnsi="Arial" w:cs="Arial"/>
          <w:sz w:val="22"/>
          <w:szCs w:val="22"/>
        </w:rPr>
      </w:pPr>
      <w:r w:rsidRPr="001255E6">
        <w:rPr>
          <w:rFonts w:ascii="Arial" w:hAnsi="Arial" w:cs="Arial"/>
          <w:sz w:val="22"/>
          <w:szCs w:val="22"/>
        </w:rPr>
        <w:t xml:space="preserve">For the analysis at the health centre level we plan to use administrative data from the Monthly Clinic Summary Report. If data is available with high frequency, we could use a difference-in-difference method at the health centre level, using 10 treatment units and a larger number of comparison health centres. Given that this would entail the use of administrative data, a broader set could be </w:t>
      </w:r>
      <w:r w:rsidR="00CC0445" w:rsidRPr="001255E6">
        <w:rPr>
          <w:rFonts w:ascii="Arial" w:hAnsi="Arial" w:cs="Arial"/>
          <w:sz w:val="22"/>
          <w:szCs w:val="22"/>
        </w:rPr>
        <w:t>used,</w:t>
      </w:r>
      <w:r w:rsidRPr="001255E6">
        <w:rPr>
          <w:rFonts w:ascii="Arial" w:hAnsi="Arial" w:cs="Arial"/>
          <w:sz w:val="22"/>
          <w:szCs w:val="22"/>
        </w:rPr>
        <w:t xml:space="preserve"> and we could control for some characteristics, and by using some fixed effects at an appropriate level (parishes or health networks within parishes). A similar methodology was applied by Bernal et al. (2018) to measure the impact of a results-based financing scheme in El Salvador with fourteen treatment municipalities.</w:t>
      </w:r>
    </w:p>
    <w:p w14:paraId="4B5887AB" w14:textId="77777777" w:rsidR="004B59E8" w:rsidRPr="001255E6" w:rsidRDefault="004B59E8" w:rsidP="009E4938">
      <w:pPr>
        <w:pStyle w:val="Paragraph"/>
        <w:ind w:left="0"/>
        <w:outlineLvl w:val="9"/>
        <w:rPr>
          <w:rFonts w:ascii="Arial" w:hAnsi="Arial" w:cs="Arial"/>
          <w:b/>
          <w:iCs/>
          <w:sz w:val="22"/>
          <w:szCs w:val="22"/>
        </w:rPr>
      </w:pPr>
      <w:r w:rsidRPr="001255E6">
        <w:rPr>
          <w:rFonts w:ascii="Arial" w:hAnsi="Arial" w:cs="Arial"/>
          <w:b/>
          <w:iCs/>
          <w:sz w:val="22"/>
          <w:szCs w:val="22"/>
        </w:rPr>
        <w:t>Data Sources for the Evaluation</w:t>
      </w:r>
    </w:p>
    <w:p w14:paraId="1E5995F9" w14:textId="77777777" w:rsidR="004B59E8" w:rsidRPr="001255E6" w:rsidRDefault="004B59E8" w:rsidP="009E4938">
      <w:pPr>
        <w:pStyle w:val="Paragraph"/>
        <w:ind w:left="0"/>
        <w:outlineLvl w:val="9"/>
        <w:rPr>
          <w:rFonts w:ascii="Arial" w:hAnsi="Arial" w:cs="Arial"/>
          <w:sz w:val="22"/>
          <w:szCs w:val="22"/>
        </w:rPr>
      </w:pPr>
      <w:r w:rsidRPr="001255E6">
        <w:rPr>
          <w:rFonts w:ascii="Arial" w:hAnsi="Arial" w:cs="Arial"/>
          <w:sz w:val="22"/>
          <w:szCs w:val="22"/>
        </w:rPr>
        <w:t>This evaluation will use existing health records and reports, as well as the use of survey instruments that have been used for patients and health centres at the primary health care level.</w:t>
      </w:r>
    </w:p>
    <w:p w14:paraId="6DDB25AE" w14:textId="77777777" w:rsidR="004B59E8" w:rsidRPr="001255E6" w:rsidRDefault="004B59E8" w:rsidP="009E4938">
      <w:pPr>
        <w:pStyle w:val="Paragraph"/>
        <w:ind w:left="0"/>
        <w:outlineLvl w:val="9"/>
        <w:rPr>
          <w:rFonts w:ascii="Arial" w:hAnsi="Arial" w:cs="Arial"/>
          <w:i/>
          <w:sz w:val="22"/>
          <w:szCs w:val="22"/>
        </w:rPr>
      </w:pPr>
      <w:r w:rsidRPr="001255E6">
        <w:rPr>
          <w:rFonts w:ascii="Arial" w:hAnsi="Arial" w:cs="Arial"/>
          <w:i/>
          <w:sz w:val="22"/>
          <w:szCs w:val="22"/>
        </w:rPr>
        <w:t xml:space="preserve">Administrative Records: </w:t>
      </w:r>
    </w:p>
    <w:p w14:paraId="0B417535" w14:textId="46AA1BC7" w:rsidR="004B59E8" w:rsidRPr="001255E6" w:rsidRDefault="004B59E8" w:rsidP="004B59E8">
      <w:pPr>
        <w:pStyle w:val="Default"/>
        <w:jc w:val="both"/>
        <w:rPr>
          <w:rFonts w:ascii="Arial" w:hAnsi="Arial" w:cs="Arial"/>
          <w:sz w:val="22"/>
          <w:szCs w:val="22"/>
          <w:lang w:val="en-GB"/>
        </w:rPr>
      </w:pPr>
      <w:r w:rsidRPr="001255E6">
        <w:rPr>
          <w:rFonts w:ascii="Arial" w:hAnsi="Arial" w:cs="Arial"/>
          <w:sz w:val="22"/>
          <w:szCs w:val="22"/>
          <w:lang w:val="en-GB"/>
        </w:rPr>
        <w:t xml:space="preserve"> Hospital Monthly Statistical Report </w:t>
      </w:r>
      <w:r w:rsidR="006D2BA9" w:rsidRPr="001255E6">
        <w:rPr>
          <w:rFonts w:ascii="Arial" w:hAnsi="Arial" w:cs="Arial"/>
          <w:sz w:val="22"/>
          <w:szCs w:val="22"/>
          <w:lang w:val="en-GB"/>
        </w:rPr>
        <w:t>(HMSR)</w:t>
      </w:r>
    </w:p>
    <w:p w14:paraId="693A226E" w14:textId="5B4DDC78" w:rsidR="004B59E8" w:rsidRPr="001255E6" w:rsidRDefault="004B59E8" w:rsidP="00D95653">
      <w:pPr>
        <w:autoSpaceDE w:val="0"/>
        <w:autoSpaceDN w:val="0"/>
        <w:adjustRightInd w:val="0"/>
        <w:rPr>
          <w:rFonts w:eastAsiaTheme="minorHAnsi" w:cs="Arial"/>
          <w:color w:val="000000"/>
          <w:szCs w:val="22"/>
        </w:rPr>
      </w:pPr>
      <w:r w:rsidRPr="001255E6">
        <w:rPr>
          <w:rFonts w:eastAsiaTheme="minorHAnsi" w:cs="Arial"/>
          <w:color w:val="000000"/>
          <w:szCs w:val="22"/>
        </w:rPr>
        <w:t xml:space="preserve"> Patient Administration System (</w:t>
      </w:r>
      <w:r w:rsidR="006D2BA9" w:rsidRPr="001255E6">
        <w:rPr>
          <w:rFonts w:eastAsiaTheme="minorHAnsi" w:cs="Arial"/>
          <w:color w:val="000000"/>
          <w:szCs w:val="22"/>
        </w:rPr>
        <w:t xml:space="preserve">PAS) </w:t>
      </w:r>
      <w:r w:rsidRPr="001255E6">
        <w:rPr>
          <w:rFonts w:eastAsiaTheme="minorHAnsi" w:cs="Arial"/>
          <w:color w:val="000000"/>
          <w:szCs w:val="22"/>
        </w:rPr>
        <w:t xml:space="preserve">(hospital) </w:t>
      </w:r>
    </w:p>
    <w:p w14:paraId="7647CE4B" w14:textId="276DE3DE" w:rsidR="004B59E8" w:rsidRPr="001255E6" w:rsidRDefault="004B59E8" w:rsidP="00D95653">
      <w:pPr>
        <w:autoSpaceDE w:val="0"/>
        <w:autoSpaceDN w:val="0"/>
        <w:adjustRightInd w:val="0"/>
        <w:rPr>
          <w:rFonts w:eastAsiaTheme="minorHAnsi" w:cs="Arial"/>
          <w:color w:val="000000"/>
          <w:szCs w:val="22"/>
        </w:rPr>
      </w:pPr>
      <w:r w:rsidRPr="001255E6">
        <w:rPr>
          <w:rFonts w:eastAsiaTheme="minorHAnsi" w:cs="Arial"/>
          <w:color w:val="000000"/>
          <w:szCs w:val="22"/>
        </w:rPr>
        <w:t xml:space="preserve"> Monthly Clinic Summary Report</w:t>
      </w:r>
      <w:r w:rsidR="006D2BA9" w:rsidRPr="001255E6">
        <w:rPr>
          <w:rFonts w:eastAsiaTheme="minorHAnsi" w:cs="Arial"/>
          <w:color w:val="000000"/>
          <w:szCs w:val="22"/>
        </w:rPr>
        <w:t xml:space="preserve"> (MCSR)</w:t>
      </w:r>
    </w:p>
    <w:p w14:paraId="3BC20882" w14:textId="23F97F32" w:rsidR="004B59E8" w:rsidRPr="001255E6" w:rsidRDefault="004B59E8" w:rsidP="009E4938">
      <w:pPr>
        <w:pStyle w:val="Paragraph"/>
        <w:ind w:left="0"/>
        <w:outlineLvl w:val="9"/>
        <w:rPr>
          <w:rFonts w:ascii="Arial" w:hAnsi="Arial" w:cs="Arial"/>
          <w:sz w:val="22"/>
          <w:szCs w:val="22"/>
        </w:rPr>
      </w:pPr>
      <w:r w:rsidRPr="001255E6">
        <w:rPr>
          <w:rFonts w:ascii="Arial" w:hAnsi="Arial" w:cs="Arial"/>
          <w:sz w:val="22"/>
          <w:szCs w:val="22"/>
        </w:rPr>
        <w:t xml:space="preserve">For more information on administrative health records, see the following document prepared by the Ministry of Health </w:t>
      </w:r>
      <w:r w:rsidR="006D2BA9" w:rsidRPr="001255E6">
        <w:rPr>
          <w:rFonts w:ascii="Arial" w:hAnsi="Arial" w:cs="Arial"/>
          <w:sz w:val="22"/>
          <w:szCs w:val="22"/>
        </w:rPr>
        <w:t>and Wellness</w:t>
      </w:r>
      <w:r w:rsidRPr="001255E6">
        <w:rPr>
          <w:rFonts w:ascii="Arial" w:hAnsi="Arial" w:cs="Arial"/>
          <w:sz w:val="22"/>
          <w:szCs w:val="22"/>
        </w:rPr>
        <w:t xml:space="preserve"> (</w:t>
      </w:r>
      <w:hyperlink r:id="rId19" w:history="1">
        <w:r w:rsidRPr="001255E6">
          <w:rPr>
            <w:rStyle w:val="Hyperlink"/>
            <w:rFonts w:ascii="Arial" w:hAnsi="Arial" w:cs="Arial"/>
            <w:sz w:val="22"/>
            <w:szCs w:val="22"/>
          </w:rPr>
          <w:t>link</w:t>
        </w:r>
      </w:hyperlink>
      <w:r w:rsidRPr="001255E6">
        <w:rPr>
          <w:rFonts w:ascii="Arial" w:hAnsi="Arial" w:cs="Arial"/>
          <w:sz w:val="22"/>
          <w:szCs w:val="22"/>
        </w:rPr>
        <w:t>)</w:t>
      </w:r>
    </w:p>
    <w:p w14:paraId="1DCD4768" w14:textId="77777777" w:rsidR="004B59E8" w:rsidRPr="001255E6" w:rsidRDefault="004B59E8" w:rsidP="00D95653">
      <w:pPr>
        <w:autoSpaceDE w:val="0"/>
        <w:autoSpaceDN w:val="0"/>
        <w:adjustRightInd w:val="0"/>
        <w:rPr>
          <w:rFonts w:cs="Arial"/>
          <w:szCs w:val="22"/>
        </w:rPr>
      </w:pPr>
    </w:p>
    <w:p w14:paraId="67393500" w14:textId="77777777" w:rsidR="004B59E8" w:rsidRPr="001255E6" w:rsidRDefault="004B59E8" w:rsidP="00D95653">
      <w:pPr>
        <w:autoSpaceDE w:val="0"/>
        <w:autoSpaceDN w:val="0"/>
        <w:adjustRightInd w:val="0"/>
        <w:rPr>
          <w:rFonts w:cs="Arial"/>
          <w:b/>
          <w:bCs/>
          <w:i/>
          <w:szCs w:val="22"/>
        </w:rPr>
      </w:pPr>
      <w:r w:rsidRPr="001255E6">
        <w:rPr>
          <w:rFonts w:cs="Arial"/>
          <w:b/>
          <w:bCs/>
          <w:i/>
          <w:szCs w:val="22"/>
        </w:rPr>
        <w:t>Primary Data Collection</w:t>
      </w:r>
    </w:p>
    <w:p w14:paraId="2B0AF0EA" w14:textId="0C86EFF3" w:rsidR="004B59E8" w:rsidRPr="001255E6" w:rsidRDefault="004B59E8" w:rsidP="003B16D0">
      <w:r w:rsidRPr="001255E6">
        <w:lastRenderedPageBreak/>
        <w:t xml:space="preserve">In the case of health </w:t>
      </w:r>
      <w:r w:rsidR="00CC0445" w:rsidRPr="001255E6">
        <w:t>centres</w:t>
      </w:r>
      <w:r w:rsidRPr="001255E6">
        <w:t xml:space="preserve"> and patients a variation </w:t>
      </w:r>
      <w:r w:rsidR="006D2BA9" w:rsidRPr="001255E6">
        <w:t xml:space="preserve">of </w:t>
      </w:r>
      <w:r w:rsidRPr="001255E6">
        <w:t>two surveys ha</w:t>
      </w:r>
      <w:r w:rsidR="006B5C30" w:rsidRPr="001255E6">
        <w:t>s</w:t>
      </w:r>
      <w:r w:rsidRPr="001255E6">
        <w:t xml:space="preserve"> been reviewed. The first one is the </w:t>
      </w:r>
      <w:r w:rsidR="00BA486C" w:rsidRPr="001255E6">
        <w:t>Johns</w:t>
      </w:r>
      <w:r w:rsidRPr="001255E6">
        <w:t xml:space="preserve"> Hopkins Primary Care </w:t>
      </w:r>
      <w:r w:rsidR="00BA486C" w:rsidRPr="001255E6">
        <w:t>Assessment</w:t>
      </w:r>
      <w:r w:rsidRPr="001255E6">
        <w:t xml:space="preserve"> Tool (PCAT)</w:t>
      </w:r>
      <w:r w:rsidRPr="001255E6">
        <w:rPr>
          <w:rStyle w:val="FootnoteReference"/>
        </w:rPr>
        <w:footnoteReference w:id="6"/>
      </w:r>
      <w:r w:rsidRPr="001255E6">
        <w:t xml:space="preserve">. The PCAT is one of the instruments validated in LAC to assess primary care services and has specific tools for patients and providers. This model was already applied in Jamaica and other Latin American countries like Colombia, México, Brazil, </w:t>
      </w:r>
      <w:r w:rsidR="00424B33" w:rsidRPr="001255E6">
        <w:t>El Salvador,</w:t>
      </w:r>
      <w:r w:rsidRPr="001255E6">
        <w:t xml:space="preserve"> and Panamá to assess not only public but also private services between 2012-2014.  </w:t>
      </w:r>
    </w:p>
    <w:p w14:paraId="06E40AD6" w14:textId="233D68CC" w:rsidR="004B59E8" w:rsidRPr="001255E6" w:rsidRDefault="004B59E8" w:rsidP="003B16D0">
      <w:r w:rsidRPr="001255E6">
        <w:t xml:space="preserve">The second tool reviewed is the </w:t>
      </w:r>
      <w:r w:rsidRPr="001255E6">
        <w:rPr>
          <w:i/>
        </w:rPr>
        <w:t>Programa de Melhoria do Acesso e da Qualidade de la Atención Básica</w:t>
      </w:r>
      <w:r w:rsidRPr="001255E6">
        <w:t xml:space="preserve"> (PMAQ) from the Ministry of Health of </w:t>
      </w:r>
      <w:r w:rsidR="00A64D37" w:rsidRPr="001255E6">
        <w:t>Brazil</w:t>
      </w:r>
      <w:r w:rsidRPr="001255E6">
        <w:t xml:space="preserve">. The instrument contains different sections, but we are interested particularly in Module III that intends to verify Health Centre </w:t>
      </w:r>
      <w:r w:rsidR="00EE5CC2" w:rsidRPr="001255E6">
        <w:t>user’s</w:t>
      </w:r>
      <w:r w:rsidRPr="001255E6">
        <w:t xml:space="preserve"> satisfaction and perception. </w:t>
      </w:r>
    </w:p>
    <w:p w14:paraId="5991A630" w14:textId="77777777" w:rsidR="004B59E8" w:rsidRPr="001255E6" w:rsidRDefault="004B59E8" w:rsidP="003B16D0">
      <w:r w:rsidRPr="001255E6">
        <w:t xml:space="preserve">According to the PMAQ manual, this module seeks to verify users' perception and satisfaction regarding health services regarding their access and use. The questionnaire will be applied to users present at the health centre on the day the survey. For interview with users, the interviewer should select those who did not go through an appointment with a doctor, </w:t>
      </w:r>
      <w:r w:rsidR="006D2BA9" w:rsidRPr="001255E6">
        <w:t xml:space="preserve">or </w:t>
      </w:r>
      <w:r w:rsidRPr="001255E6">
        <w:t>a nurse on the day of the interview.</w:t>
      </w:r>
    </w:p>
    <w:p w14:paraId="43A1645E" w14:textId="2CD9170E" w:rsidR="004B59E8" w:rsidRPr="001255E6" w:rsidRDefault="004B59E8" w:rsidP="003B16D0">
      <w:r w:rsidRPr="001255E6">
        <w:t xml:space="preserve">The specific blocks (woman, prenatal, child, hypertension, diabetes) will be applied according to the user profile. It is suggested to apply the following exclusion criteria: do not continue the interview if it is the FIRST time that the user comes to the health unit; do not continue the interview if you </w:t>
      </w:r>
      <w:r w:rsidR="006D2BA9" w:rsidRPr="001255E6">
        <w:t xml:space="preserve">know that the user has not </w:t>
      </w:r>
      <w:r w:rsidR="004E518F" w:rsidRPr="001255E6">
        <w:t>come into the health unit/centre in over</w:t>
      </w:r>
      <w:r w:rsidRPr="001255E6">
        <w:t xml:space="preserve"> 12 </w:t>
      </w:r>
      <w:r w:rsidR="00D32E2D" w:rsidRPr="001255E6">
        <w:t>MONTHS;</w:t>
      </w:r>
      <w:r w:rsidRPr="001255E6">
        <w:t xml:space="preserve"> and </w:t>
      </w:r>
      <w:r w:rsidR="004E518F" w:rsidRPr="001255E6">
        <w:t xml:space="preserve">do </w:t>
      </w:r>
      <w:r w:rsidRPr="001255E6">
        <w:t>not conduct the interview if the user is under 18 years of age.</w:t>
      </w:r>
    </w:p>
    <w:p w14:paraId="21943754" w14:textId="77777777" w:rsidR="004B59E8" w:rsidRPr="001255E6" w:rsidRDefault="004B59E8" w:rsidP="003B16D0">
      <w:r w:rsidRPr="001255E6">
        <w:t>The PMAQ instrument has the following blocks that will be adapted to the Jamaican context and to measure specific areas of interest to the project:</w:t>
      </w:r>
    </w:p>
    <w:p w14:paraId="4E1B4870" w14:textId="69BC154F" w:rsidR="004B59E8" w:rsidRPr="001255E6" w:rsidRDefault="004B59E8" w:rsidP="004F7DD5">
      <w:pPr>
        <w:pStyle w:val="Paragraph"/>
        <w:numPr>
          <w:ilvl w:val="0"/>
          <w:numId w:val="3"/>
        </w:numPr>
        <w:spacing w:before="0" w:after="0"/>
        <w:outlineLvl w:val="9"/>
        <w:rPr>
          <w:rFonts w:ascii="Arial" w:hAnsi="Arial" w:cs="Arial"/>
          <w:sz w:val="22"/>
          <w:szCs w:val="22"/>
        </w:rPr>
      </w:pPr>
      <w:r w:rsidRPr="001255E6">
        <w:rPr>
          <w:rFonts w:ascii="Arial" w:hAnsi="Arial" w:cs="Arial"/>
          <w:sz w:val="22"/>
          <w:szCs w:val="22"/>
        </w:rPr>
        <w:t xml:space="preserve">Identification (general, </w:t>
      </w:r>
      <w:r w:rsidR="004E518F" w:rsidRPr="001255E6">
        <w:rPr>
          <w:rFonts w:ascii="Arial" w:hAnsi="Arial" w:cs="Arial"/>
          <w:sz w:val="22"/>
          <w:szCs w:val="22"/>
        </w:rPr>
        <w:t>the</w:t>
      </w:r>
      <w:r w:rsidRPr="001255E6">
        <w:rPr>
          <w:rFonts w:ascii="Arial" w:hAnsi="Arial" w:cs="Arial"/>
          <w:sz w:val="22"/>
          <w:szCs w:val="22"/>
        </w:rPr>
        <w:t xml:space="preserve"> health centre, of user)</w:t>
      </w:r>
    </w:p>
    <w:p w14:paraId="07B6D000" w14:textId="77777777" w:rsidR="004B59E8" w:rsidRPr="001255E6" w:rsidRDefault="004B59E8" w:rsidP="004F7DD5">
      <w:pPr>
        <w:pStyle w:val="Paragraph"/>
        <w:numPr>
          <w:ilvl w:val="0"/>
          <w:numId w:val="3"/>
        </w:numPr>
        <w:spacing w:before="0" w:after="0"/>
        <w:outlineLvl w:val="9"/>
        <w:rPr>
          <w:rFonts w:ascii="Arial" w:hAnsi="Arial" w:cs="Arial"/>
          <w:sz w:val="22"/>
          <w:szCs w:val="22"/>
        </w:rPr>
      </w:pPr>
      <w:r w:rsidRPr="001255E6">
        <w:rPr>
          <w:rFonts w:ascii="Arial" w:hAnsi="Arial" w:cs="Arial"/>
          <w:sz w:val="22"/>
          <w:szCs w:val="22"/>
        </w:rPr>
        <w:t>Access to the health centre</w:t>
      </w:r>
    </w:p>
    <w:p w14:paraId="0B564547" w14:textId="77777777" w:rsidR="004B59E8" w:rsidRPr="001255E6" w:rsidRDefault="004B59E8" w:rsidP="004F7DD5">
      <w:pPr>
        <w:pStyle w:val="Paragraph"/>
        <w:numPr>
          <w:ilvl w:val="0"/>
          <w:numId w:val="3"/>
        </w:numPr>
        <w:spacing w:before="0" w:after="0"/>
        <w:outlineLvl w:val="9"/>
        <w:rPr>
          <w:rFonts w:ascii="Arial" w:hAnsi="Arial" w:cs="Arial"/>
          <w:sz w:val="22"/>
          <w:szCs w:val="22"/>
        </w:rPr>
      </w:pPr>
      <w:r w:rsidRPr="001255E6">
        <w:rPr>
          <w:rFonts w:ascii="Arial" w:hAnsi="Arial" w:cs="Arial"/>
          <w:sz w:val="22"/>
          <w:szCs w:val="22"/>
        </w:rPr>
        <w:t>Access to health services in the health centre</w:t>
      </w:r>
    </w:p>
    <w:p w14:paraId="07AC6DE4" w14:textId="77777777" w:rsidR="004B59E8" w:rsidRPr="001255E6" w:rsidRDefault="004B59E8" w:rsidP="004F7DD5">
      <w:pPr>
        <w:pStyle w:val="Paragraph"/>
        <w:numPr>
          <w:ilvl w:val="0"/>
          <w:numId w:val="3"/>
        </w:numPr>
        <w:spacing w:before="0" w:after="0"/>
        <w:outlineLvl w:val="9"/>
        <w:rPr>
          <w:rFonts w:ascii="Arial" w:hAnsi="Arial" w:cs="Arial"/>
          <w:sz w:val="22"/>
          <w:szCs w:val="22"/>
        </w:rPr>
      </w:pPr>
      <w:r w:rsidRPr="001255E6">
        <w:rPr>
          <w:rFonts w:ascii="Arial" w:hAnsi="Arial" w:cs="Arial"/>
          <w:sz w:val="22"/>
          <w:szCs w:val="22"/>
        </w:rPr>
        <w:t>Mode of scheduling an appointment</w:t>
      </w:r>
    </w:p>
    <w:p w14:paraId="7D008709" w14:textId="77777777" w:rsidR="004B59E8" w:rsidRPr="001255E6" w:rsidRDefault="004B59E8" w:rsidP="004F7DD5">
      <w:pPr>
        <w:pStyle w:val="Paragraph"/>
        <w:numPr>
          <w:ilvl w:val="0"/>
          <w:numId w:val="3"/>
        </w:numPr>
        <w:spacing w:before="0" w:after="0"/>
        <w:outlineLvl w:val="9"/>
        <w:rPr>
          <w:rFonts w:ascii="Arial" w:hAnsi="Arial" w:cs="Arial"/>
          <w:sz w:val="22"/>
          <w:szCs w:val="22"/>
        </w:rPr>
      </w:pPr>
      <w:r w:rsidRPr="001255E6">
        <w:rPr>
          <w:rFonts w:ascii="Arial" w:hAnsi="Arial" w:cs="Arial"/>
          <w:sz w:val="22"/>
          <w:szCs w:val="22"/>
        </w:rPr>
        <w:t>Walk-ins and emergency visits</w:t>
      </w:r>
    </w:p>
    <w:p w14:paraId="184961DA" w14:textId="77777777" w:rsidR="004B59E8" w:rsidRPr="001255E6" w:rsidRDefault="004B59E8" w:rsidP="004F7DD5">
      <w:pPr>
        <w:pStyle w:val="Paragraph"/>
        <w:numPr>
          <w:ilvl w:val="0"/>
          <w:numId w:val="3"/>
        </w:numPr>
        <w:spacing w:before="0" w:after="0"/>
        <w:outlineLvl w:val="9"/>
        <w:rPr>
          <w:rFonts w:ascii="Arial" w:hAnsi="Arial" w:cs="Arial"/>
          <w:sz w:val="22"/>
          <w:szCs w:val="22"/>
        </w:rPr>
      </w:pPr>
      <w:r w:rsidRPr="001255E6">
        <w:rPr>
          <w:rFonts w:ascii="Arial" w:hAnsi="Arial" w:cs="Arial"/>
          <w:sz w:val="22"/>
          <w:szCs w:val="22"/>
        </w:rPr>
        <w:t>Use: Quality in services, relationship with providers, community activities</w:t>
      </w:r>
    </w:p>
    <w:p w14:paraId="523BAC28" w14:textId="77777777" w:rsidR="004B59E8" w:rsidRPr="001255E6" w:rsidRDefault="004B59E8" w:rsidP="004F7DD5">
      <w:pPr>
        <w:pStyle w:val="Paragraph"/>
        <w:numPr>
          <w:ilvl w:val="0"/>
          <w:numId w:val="3"/>
        </w:numPr>
        <w:spacing w:before="0" w:after="0"/>
        <w:outlineLvl w:val="9"/>
        <w:rPr>
          <w:rFonts w:ascii="Arial" w:hAnsi="Arial" w:cs="Arial"/>
          <w:sz w:val="22"/>
          <w:szCs w:val="22"/>
        </w:rPr>
      </w:pPr>
      <w:r w:rsidRPr="001255E6">
        <w:rPr>
          <w:rFonts w:ascii="Arial" w:hAnsi="Arial" w:cs="Arial"/>
          <w:sz w:val="22"/>
          <w:szCs w:val="22"/>
        </w:rPr>
        <w:t>Coordination in Care</w:t>
      </w:r>
    </w:p>
    <w:p w14:paraId="56484AB4" w14:textId="77777777" w:rsidR="004B59E8" w:rsidRPr="001255E6" w:rsidRDefault="004B59E8" w:rsidP="004F7DD5">
      <w:pPr>
        <w:pStyle w:val="Paragraph"/>
        <w:numPr>
          <w:ilvl w:val="0"/>
          <w:numId w:val="3"/>
        </w:numPr>
        <w:spacing w:before="0" w:after="0"/>
        <w:outlineLvl w:val="9"/>
        <w:rPr>
          <w:rFonts w:ascii="Arial" w:hAnsi="Arial" w:cs="Arial"/>
          <w:sz w:val="22"/>
          <w:szCs w:val="22"/>
        </w:rPr>
      </w:pPr>
      <w:r w:rsidRPr="001255E6">
        <w:rPr>
          <w:rFonts w:ascii="Arial" w:hAnsi="Arial" w:cs="Arial"/>
          <w:sz w:val="22"/>
          <w:szCs w:val="22"/>
        </w:rPr>
        <w:t>Home visits</w:t>
      </w:r>
    </w:p>
    <w:p w14:paraId="2E66C2DE" w14:textId="77777777" w:rsidR="004B59E8" w:rsidRPr="001255E6" w:rsidRDefault="004B59E8" w:rsidP="004F7DD5">
      <w:pPr>
        <w:pStyle w:val="Paragraph"/>
        <w:numPr>
          <w:ilvl w:val="0"/>
          <w:numId w:val="3"/>
        </w:numPr>
        <w:spacing w:before="0" w:after="0"/>
        <w:outlineLvl w:val="9"/>
        <w:rPr>
          <w:rFonts w:ascii="Arial" w:hAnsi="Arial" w:cs="Arial"/>
          <w:sz w:val="22"/>
          <w:szCs w:val="22"/>
        </w:rPr>
      </w:pPr>
      <w:r w:rsidRPr="001255E6">
        <w:rPr>
          <w:rFonts w:ascii="Arial" w:hAnsi="Arial" w:cs="Arial"/>
          <w:sz w:val="22"/>
          <w:szCs w:val="22"/>
        </w:rPr>
        <w:t>Women´s health</w:t>
      </w:r>
    </w:p>
    <w:p w14:paraId="374E9292" w14:textId="77777777" w:rsidR="004B59E8" w:rsidRPr="001255E6" w:rsidRDefault="004B59E8" w:rsidP="004F7DD5">
      <w:pPr>
        <w:pStyle w:val="Paragraph"/>
        <w:numPr>
          <w:ilvl w:val="0"/>
          <w:numId w:val="3"/>
        </w:numPr>
        <w:spacing w:before="0" w:after="0"/>
        <w:outlineLvl w:val="9"/>
        <w:rPr>
          <w:rFonts w:ascii="Arial" w:hAnsi="Arial" w:cs="Arial"/>
          <w:sz w:val="22"/>
          <w:szCs w:val="22"/>
        </w:rPr>
      </w:pPr>
      <w:r w:rsidRPr="001255E6">
        <w:rPr>
          <w:rFonts w:ascii="Arial" w:hAnsi="Arial" w:cs="Arial"/>
          <w:sz w:val="22"/>
          <w:szCs w:val="22"/>
        </w:rPr>
        <w:t>Children´s health</w:t>
      </w:r>
    </w:p>
    <w:p w14:paraId="5C59AF4C" w14:textId="77777777" w:rsidR="004B59E8" w:rsidRPr="001255E6" w:rsidRDefault="004B59E8" w:rsidP="004F7DD5">
      <w:pPr>
        <w:pStyle w:val="Paragraph"/>
        <w:numPr>
          <w:ilvl w:val="0"/>
          <w:numId w:val="3"/>
        </w:numPr>
        <w:spacing w:before="0" w:after="0"/>
        <w:outlineLvl w:val="9"/>
        <w:rPr>
          <w:rFonts w:ascii="Arial" w:hAnsi="Arial" w:cs="Arial"/>
          <w:sz w:val="22"/>
          <w:szCs w:val="22"/>
        </w:rPr>
      </w:pPr>
      <w:r w:rsidRPr="001255E6">
        <w:rPr>
          <w:rFonts w:ascii="Arial" w:hAnsi="Arial" w:cs="Arial"/>
          <w:sz w:val="22"/>
          <w:szCs w:val="22"/>
        </w:rPr>
        <w:t>NCDs (hypertension, diabetes)</w:t>
      </w:r>
    </w:p>
    <w:sectPr w:rsidR="004B59E8" w:rsidRPr="001255E6" w:rsidSect="009E4938">
      <w:footerReference w:type="default" r:id="rId2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8AC32C" w16cid:durableId="22D566C7"/>
  <w16cid:commentId w16cid:paraId="660E0CF4" w16cid:durableId="23A17AF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EFCB4" w14:textId="77777777" w:rsidR="0091492A" w:rsidRDefault="0091492A" w:rsidP="009E4938">
      <w:r>
        <w:separator/>
      </w:r>
    </w:p>
  </w:endnote>
  <w:endnote w:type="continuationSeparator" w:id="0">
    <w:p w14:paraId="14EA863B" w14:textId="77777777" w:rsidR="0091492A" w:rsidRDefault="0091492A" w:rsidP="009E4938">
      <w:r>
        <w:continuationSeparator/>
      </w:r>
    </w:p>
  </w:endnote>
  <w:endnote w:type="continuationNotice" w:id="1">
    <w:p w14:paraId="3383E6CB" w14:textId="77777777" w:rsidR="0091492A" w:rsidRDefault="0091492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1"/>
    <w:family w:val="swiss"/>
    <w:pitch w:val="variable"/>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533941"/>
      <w:docPartObj>
        <w:docPartGallery w:val="Page Numbers (Bottom of Page)"/>
        <w:docPartUnique/>
      </w:docPartObj>
    </w:sdtPr>
    <w:sdtEndPr>
      <w:rPr>
        <w:noProof/>
      </w:rPr>
    </w:sdtEndPr>
    <w:sdtContent>
      <w:p w14:paraId="63191AC7" w14:textId="3A2D8885" w:rsidR="00885F14" w:rsidRDefault="00885F14">
        <w:pPr>
          <w:pStyle w:val="Footer"/>
          <w:jc w:val="right"/>
        </w:pPr>
        <w:r>
          <w:fldChar w:fldCharType="begin"/>
        </w:r>
        <w:r>
          <w:instrText xml:space="preserve"> PAGE   \* MERGEFORMAT </w:instrText>
        </w:r>
        <w:r>
          <w:fldChar w:fldCharType="separate"/>
        </w:r>
        <w:r w:rsidR="00754079">
          <w:rPr>
            <w:noProof/>
          </w:rPr>
          <w:t>2</w:t>
        </w:r>
        <w:r>
          <w:rPr>
            <w:noProof/>
          </w:rPr>
          <w:fldChar w:fldCharType="end"/>
        </w:r>
      </w:p>
    </w:sdtContent>
  </w:sdt>
  <w:p w14:paraId="1E8A34A5" w14:textId="61067200" w:rsidR="00885F14" w:rsidRDefault="00885F14" w:rsidP="00D956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02B6A" w14:textId="77777777" w:rsidR="0091492A" w:rsidRPr="00D95653" w:rsidRDefault="0091492A" w:rsidP="00A27784">
      <w:r>
        <w:separator/>
      </w:r>
    </w:p>
  </w:footnote>
  <w:footnote w:type="continuationSeparator" w:id="0">
    <w:p w14:paraId="70368499" w14:textId="77777777" w:rsidR="0091492A" w:rsidRPr="00D95653" w:rsidRDefault="0091492A" w:rsidP="00A27784">
      <w:r>
        <w:continuationSeparator/>
      </w:r>
    </w:p>
  </w:footnote>
  <w:footnote w:type="continuationNotice" w:id="1">
    <w:p w14:paraId="1F77527F" w14:textId="77777777" w:rsidR="0091492A" w:rsidRDefault="0091492A">
      <w:pPr>
        <w:spacing w:before="0" w:after="0"/>
      </w:pPr>
    </w:p>
  </w:footnote>
  <w:footnote w:id="2">
    <w:p w14:paraId="125A7386" w14:textId="5C4E699B" w:rsidR="00885F14" w:rsidRPr="003C42FC" w:rsidRDefault="00885F14" w:rsidP="00415320">
      <w:pPr>
        <w:pStyle w:val="FootnoteText"/>
        <w:spacing w:after="0"/>
        <w:rPr>
          <w:rFonts w:ascii="Arial" w:eastAsia="Arial" w:hAnsi="Arial" w:cs="Arial"/>
          <w:sz w:val="18"/>
          <w:szCs w:val="18"/>
          <w:lang w:val="en-JM"/>
        </w:rPr>
      </w:pPr>
      <w:r w:rsidRPr="00D95653">
        <w:rPr>
          <w:rStyle w:val="FootnoteReference"/>
          <w:rFonts w:ascii="Arial" w:eastAsia="Arial" w:hAnsi="Arial"/>
          <w:sz w:val="18"/>
          <w:lang w:val="en-JM"/>
        </w:rPr>
        <w:footnoteRef/>
      </w:r>
      <w:r w:rsidRPr="003C42FC">
        <w:rPr>
          <w:rFonts w:ascii="Arial" w:eastAsia="Arial" w:hAnsi="Arial" w:cs="Arial"/>
          <w:sz w:val="18"/>
          <w:szCs w:val="18"/>
          <w:lang w:val="en-JM"/>
        </w:rPr>
        <w:t xml:space="preserve"> </w:t>
      </w:r>
      <w:r w:rsidRPr="003C42FC">
        <w:rPr>
          <w:rFonts w:ascii="Arial" w:hAnsi="Arial" w:cs="Arial"/>
          <w:sz w:val="18"/>
          <w:szCs w:val="18"/>
          <w:lang w:val="en-JM"/>
        </w:rPr>
        <w:tab/>
      </w:r>
      <w:r w:rsidRPr="003C42FC">
        <w:rPr>
          <w:rFonts w:ascii="Arial" w:eastAsia="Arial" w:hAnsi="Arial" w:cs="Arial"/>
          <w:sz w:val="18"/>
          <w:szCs w:val="18"/>
          <w:lang w:val="en-JM"/>
        </w:rPr>
        <w:t xml:space="preserve">In the infrastructure upgrading efforts, the </w:t>
      </w:r>
      <w:r>
        <w:rPr>
          <w:rFonts w:ascii="Arial" w:eastAsia="Arial" w:hAnsi="Arial" w:cs="Arial"/>
          <w:sz w:val="18"/>
          <w:szCs w:val="18"/>
          <w:lang w:val="en-JM"/>
        </w:rPr>
        <w:t>MOHW</w:t>
      </w:r>
      <w:r w:rsidRPr="003C42FC">
        <w:rPr>
          <w:rFonts w:ascii="Arial" w:eastAsia="Arial" w:hAnsi="Arial" w:cs="Arial"/>
          <w:sz w:val="18"/>
          <w:szCs w:val="18"/>
          <w:lang w:val="en-JM"/>
        </w:rPr>
        <w:t xml:space="preserve"> is considering the options and lessons learned in the ongoing effort to retrofit public buildings to improve energy efficiency </w:t>
      </w:r>
      <w:r>
        <w:rPr>
          <w:rFonts w:ascii="Arial" w:eastAsia="Arial" w:hAnsi="Arial" w:cs="Arial"/>
          <w:sz w:val="18"/>
          <w:szCs w:val="18"/>
          <w:lang w:val="en-JM"/>
        </w:rPr>
        <w:t>led by the Ministry of Science, Energy and Technology</w:t>
      </w:r>
      <w:r w:rsidRPr="003C42FC">
        <w:rPr>
          <w:rFonts w:ascii="Arial" w:eastAsia="Arial" w:hAnsi="Arial" w:cs="Arial"/>
          <w:sz w:val="18"/>
          <w:szCs w:val="18"/>
          <w:lang w:val="en-JM"/>
        </w:rPr>
        <w:t>.</w:t>
      </w:r>
    </w:p>
  </w:footnote>
  <w:footnote w:id="3">
    <w:p w14:paraId="317FFA79" w14:textId="108FB0F9" w:rsidR="00885F14" w:rsidRPr="00E57C05" w:rsidRDefault="00885F14" w:rsidP="00E13679">
      <w:pPr>
        <w:pStyle w:val="FootnoteText"/>
        <w:spacing w:before="0" w:after="0"/>
        <w:ind w:left="0" w:firstLine="0"/>
        <w:rPr>
          <w:rFonts w:ascii="Arial" w:hAnsi="Arial" w:cs="Arial"/>
          <w:sz w:val="18"/>
        </w:rPr>
      </w:pPr>
      <w:r>
        <w:rPr>
          <w:rStyle w:val="FootnoteReference"/>
        </w:rPr>
        <w:footnoteRef/>
      </w:r>
      <w:r>
        <w:t xml:space="preserve"> </w:t>
      </w:r>
      <w:r w:rsidRPr="00E57C05">
        <w:rPr>
          <w:rFonts w:ascii="Arial" w:hAnsi="Arial" w:cs="Arial"/>
          <w:sz w:val="18"/>
        </w:rPr>
        <w:t>Definition of fragmentation of health services - Fragmentation is a major cause of poor performance of health services and systems. Examples of fragmentation of health services include the following:(i) coexistence of units, facilities or programmes that are not integrated into the health network; (ii) services that do not cover the entire range of promotion, prevention, diagnosis, treatment, rehabilitation</w:t>
      </w:r>
      <w:r>
        <w:rPr>
          <w:rFonts w:ascii="Arial" w:hAnsi="Arial" w:cs="Arial"/>
          <w:sz w:val="18"/>
        </w:rPr>
        <w:t>,</w:t>
      </w:r>
      <w:r w:rsidRPr="00E57C05">
        <w:rPr>
          <w:rFonts w:ascii="Arial" w:hAnsi="Arial" w:cs="Arial"/>
          <w:sz w:val="18"/>
        </w:rPr>
        <w:t xml:space="preserve"> and palliative care services; (iii) services at different levels of care that are not coordinated among themselves; (iv) services that do not continue over time; (v) services that do not meet people’s needs.</w:t>
      </w:r>
    </w:p>
    <w:p w14:paraId="15B8BF43" w14:textId="77777777" w:rsidR="00885F14" w:rsidRPr="00E57C05" w:rsidRDefault="00885F14" w:rsidP="00E13679">
      <w:pPr>
        <w:pStyle w:val="FootnoteText"/>
        <w:spacing w:before="0" w:after="0"/>
        <w:ind w:left="0" w:firstLine="0"/>
        <w:rPr>
          <w:rFonts w:ascii="Arial" w:hAnsi="Arial" w:cs="Arial"/>
          <w:sz w:val="18"/>
        </w:rPr>
      </w:pPr>
      <w:r w:rsidRPr="00E57C05">
        <w:rPr>
          <w:rFonts w:ascii="Arial" w:hAnsi="Arial" w:cs="Arial"/>
          <w:sz w:val="18"/>
        </w:rPr>
        <w:t>Fragmentation manifests itself as lack of coordination between the different levels of care and care settings, duplication of services and infrastructure, unutilized productive capacity, and health care provided at the least appropriate location, especially hospitals (PAHO/WHO, Integrated Health Service delivery networks, 2011).</w:t>
      </w:r>
    </w:p>
    <w:p w14:paraId="20D2082D" w14:textId="24595CB8" w:rsidR="00885F14" w:rsidRPr="001C6537" w:rsidRDefault="00885F14" w:rsidP="002D51E9">
      <w:pPr>
        <w:pStyle w:val="FootnoteText"/>
        <w:spacing w:before="0" w:after="0"/>
        <w:rPr>
          <w:lang w:val="en-US"/>
        </w:rPr>
      </w:pPr>
    </w:p>
  </w:footnote>
  <w:footnote w:id="4">
    <w:p w14:paraId="6FC5C50A" w14:textId="019068B7" w:rsidR="00885F14" w:rsidRPr="00586A2A" w:rsidRDefault="00885F14" w:rsidP="00240546">
      <w:pPr>
        <w:pStyle w:val="FootnoteText"/>
        <w:rPr>
          <w:rFonts w:ascii="Arial" w:hAnsi="Arial" w:cs="Arial"/>
          <w:sz w:val="18"/>
          <w:szCs w:val="18"/>
        </w:rPr>
      </w:pPr>
      <w:r w:rsidRPr="00D95653">
        <w:rPr>
          <w:rStyle w:val="FootnoteReference"/>
          <w:rFonts w:ascii="Arial" w:hAnsi="Arial"/>
          <w:sz w:val="18"/>
        </w:rPr>
        <w:footnoteRef/>
      </w:r>
      <w:r w:rsidRPr="00586A2A">
        <w:rPr>
          <w:rFonts w:ascii="Arial" w:hAnsi="Arial" w:cs="Arial"/>
          <w:sz w:val="18"/>
          <w:szCs w:val="18"/>
        </w:rPr>
        <w:t xml:space="preserve"> </w:t>
      </w:r>
      <w:r>
        <w:rPr>
          <w:rFonts w:ascii="Arial" w:hAnsi="Arial" w:cs="Arial"/>
          <w:sz w:val="18"/>
          <w:szCs w:val="18"/>
        </w:rPr>
        <w:tab/>
      </w:r>
      <w:r w:rsidRPr="00586A2A">
        <w:rPr>
          <w:rFonts w:ascii="Arial" w:hAnsi="Arial" w:cs="Arial"/>
          <w:sz w:val="18"/>
          <w:szCs w:val="18"/>
        </w:rPr>
        <w:t xml:space="preserve">Ministry of Health </w:t>
      </w:r>
      <w:r>
        <w:rPr>
          <w:rFonts w:ascii="Arial" w:hAnsi="Arial" w:cs="Arial"/>
          <w:sz w:val="18"/>
          <w:szCs w:val="18"/>
        </w:rPr>
        <w:t xml:space="preserve">and Wellness </w:t>
      </w:r>
      <w:r w:rsidRPr="00586A2A">
        <w:rPr>
          <w:rFonts w:ascii="Arial" w:hAnsi="Arial" w:cs="Arial"/>
          <w:sz w:val="18"/>
          <w:szCs w:val="18"/>
        </w:rPr>
        <w:t>of Jamaica, Pan American Health Organization, United Nations Development Programme and RTI International. The Case for Investment in Prevention and Control of Noncommunicable on</w:t>
      </w:r>
      <w:r>
        <w:rPr>
          <w:rFonts w:ascii="Arial" w:hAnsi="Arial" w:cs="Arial"/>
          <w:sz w:val="18"/>
          <w:szCs w:val="18"/>
        </w:rPr>
        <w:t>-</w:t>
      </w:r>
      <w:r w:rsidRPr="00586A2A">
        <w:rPr>
          <w:rFonts w:ascii="Arial" w:hAnsi="Arial" w:cs="Arial"/>
          <w:sz w:val="18"/>
          <w:szCs w:val="18"/>
        </w:rPr>
        <w:t>communicable Diseases in Jamaica (draft version)</w:t>
      </w:r>
    </w:p>
  </w:footnote>
  <w:footnote w:id="5">
    <w:p w14:paraId="79605823" w14:textId="4F6E1843" w:rsidR="00885F14" w:rsidRPr="00586A2A" w:rsidRDefault="00885F14" w:rsidP="004B59E8">
      <w:pPr>
        <w:pStyle w:val="FootnoteText"/>
        <w:rPr>
          <w:rFonts w:ascii="Arial" w:hAnsi="Arial" w:cs="Arial"/>
          <w:sz w:val="18"/>
          <w:szCs w:val="18"/>
        </w:rPr>
      </w:pPr>
      <w:r w:rsidRPr="00D95653">
        <w:rPr>
          <w:rStyle w:val="FootnoteReference"/>
          <w:rFonts w:ascii="Arial" w:hAnsi="Arial"/>
          <w:sz w:val="18"/>
        </w:rPr>
        <w:footnoteRef/>
      </w:r>
      <w:r w:rsidRPr="00586A2A">
        <w:rPr>
          <w:rFonts w:ascii="Arial" w:hAnsi="Arial" w:cs="Arial"/>
          <w:sz w:val="18"/>
          <w:szCs w:val="18"/>
        </w:rPr>
        <w:t xml:space="preserve"> </w:t>
      </w:r>
      <w:r>
        <w:rPr>
          <w:rFonts w:ascii="Arial" w:hAnsi="Arial" w:cs="Arial"/>
          <w:sz w:val="18"/>
          <w:szCs w:val="18"/>
        </w:rPr>
        <w:tab/>
      </w:r>
      <w:r w:rsidRPr="00586A2A">
        <w:rPr>
          <w:rFonts w:ascii="Arial" w:hAnsi="Arial" w:cs="Arial"/>
          <w:sz w:val="18"/>
          <w:szCs w:val="18"/>
        </w:rPr>
        <w:t>For more information on the method see Gertler, Paul J.; Martinez, Sebastian; Premand, Patrick; Rawlings, Laura B.; Vermeersch, Christel M. J. 2016. Impact Evaluation in Practice, Second Edition. Washington, DC: Inter-American Development Bank and World Bank.</w:t>
      </w:r>
    </w:p>
  </w:footnote>
  <w:footnote w:id="6">
    <w:p w14:paraId="0022375F" w14:textId="238FE7C1" w:rsidR="00885F14" w:rsidRPr="00586A2A" w:rsidRDefault="00885F14" w:rsidP="004B59E8">
      <w:pPr>
        <w:pStyle w:val="FootnoteText"/>
        <w:rPr>
          <w:rFonts w:ascii="Arial" w:hAnsi="Arial" w:cs="Arial"/>
          <w:sz w:val="18"/>
          <w:szCs w:val="18"/>
        </w:rPr>
      </w:pPr>
      <w:r w:rsidRPr="00711306">
        <w:rPr>
          <w:rStyle w:val="FootnoteCharacters"/>
        </w:rPr>
        <w:footnoteRef/>
      </w:r>
      <w:r>
        <w:rPr>
          <w:rFonts w:ascii="Arial" w:hAnsi="Arial" w:cs="Arial"/>
          <w:sz w:val="18"/>
          <w:szCs w:val="18"/>
        </w:rPr>
        <w:tab/>
        <w:t xml:space="preserve"> For more information see: </w:t>
      </w:r>
      <w:hyperlink r:id="rId1">
        <w:r>
          <w:rPr>
            <w:rStyle w:val="Hyperlink"/>
            <w:rFonts w:ascii="Arial" w:hAnsi="Arial" w:cs="Arial"/>
            <w:sz w:val="18"/>
            <w:szCs w:val="18"/>
          </w:rPr>
          <w:t>https://www.jhsph.edu/research/centers-and-institutes/johns-hopkins-primary-care-policy-center/pca_tools.html</w:t>
        </w:r>
      </w:hyperlink>
      <w:r>
        <w:rPr>
          <w:rFonts w:ascii="Arial" w:hAnsi="Arial" w:cs="Arial"/>
          <w:sz w:val="18"/>
          <w:szCs w:val="18"/>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A1589"/>
    <w:multiLevelType w:val="multilevel"/>
    <w:tmpl w:val="C2247E6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decimal"/>
      <w:lvlText w:val="%3)"/>
      <w:lvlJc w:val="left"/>
      <w:pPr>
        <w:tabs>
          <w:tab w:val="num" w:pos="1440"/>
        </w:tabs>
        <w:ind w:left="2340" w:hanging="360"/>
      </w:pPr>
    </w:lvl>
    <w:lvl w:ilvl="3">
      <w:start w:val="6"/>
      <w:numFmt w:val="bullet"/>
      <w:lvlText w:val="-"/>
      <w:lvlJc w:val="left"/>
      <w:pPr>
        <w:tabs>
          <w:tab w:val="num" w:pos="1800"/>
        </w:tabs>
        <w:ind w:left="2880" w:hanging="360"/>
      </w:pPr>
      <w:rPr>
        <w:rFonts w:ascii="Arial" w:hAnsi="Arial" w:cs="Arial" w:hint="default"/>
      </w:r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 w15:restartNumberingAfterBreak="0">
    <w:nsid w:val="0950793B"/>
    <w:multiLevelType w:val="hybridMultilevel"/>
    <w:tmpl w:val="5C721E62"/>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 w15:restartNumberingAfterBreak="0">
    <w:nsid w:val="0B172C52"/>
    <w:multiLevelType w:val="hybridMultilevel"/>
    <w:tmpl w:val="828CB7FA"/>
    <w:lvl w:ilvl="0" w:tplc="A9188D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54346"/>
    <w:multiLevelType w:val="hybridMultilevel"/>
    <w:tmpl w:val="2DAA5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736EE"/>
    <w:multiLevelType w:val="hybridMultilevel"/>
    <w:tmpl w:val="EDFA2BFA"/>
    <w:lvl w:ilvl="0" w:tplc="FFFFFFFF">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1F937EEE"/>
    <w:multiLevelType w:val="multilevel"/>
    <w:tmpl w:val="941A514A"/>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6" w15:restartNumberingAfterBreak="0">
    <w:nsid w:val="24F21D0F"/>
    <w:multiLevelType w:val="hybridMultilevel"/>
    <w:tmpl w:val="63228A7E"/>
    <w:lvl w:ilvl="0" w:tplc="20090001">
      <w:start w:val="1"/>
      <w:numFmt w:val="bullet"/>
      <w:lvlText w:val=""/>
      <w:lvlJc w:val="left"/>
      <w:pPr>
        <w:ind w:left="780" w:hanging="360"/>
      </w:pPr>
      <w:rPr>
        <w:rFonts w:ascii="Symbol" w:hAnsi="Symbol" w:hint="default"/>
      </w:rPr>
    </w:lvl>
    <w:lvl w:ilvl="1" w:tplc="20090003" w:tentative="1">
      <w:start w:val="1"/>
      <w:numFmt w:val="bullet"/>
      <w:lvlText w:val="o"/>
      <w:lvlJc w:val="left"/>
      <w:pPr>
        <w:ind w:left="1500" w:hanging="360"/>
      </w:pPr>
      <w:rPr>
        <w:rFonts w:ascii="Courier New" w:hAnsi="Courier New" w:cs="Courier New" w:hint="default"/>
      </w:rPr>
    </w:lvl>
    <w:lvl w:ilvl="2" w:tplc="20090005" w:tentative="1">
      <w:start w:val="1"/>
      <w:numFmt w:val="bullet"/>
      <w:lvlText w:val=""/>
      <w:lvlJc w:val="left"/>
      <w:pPr>
        <w:ind w:left="2220" w:hanging="360"/>
      </w:pPr>
      <w:rPr>
        <w:rFonts w:ascii="Wingdings" w:hAnsi="Wingdings" w:hint="default"/>
      </w:rPr>
    </w:lvl>
    <w:lvl w:ilvl="3" w:tplc="20090001" w:tentative="1">
      <w:start w:val="1"/>
      <w:numFmt w:val="bullet"/>
      <w:lvlText w:val=""/>
      <w:lvlJc w:val="left"/>
      <w:pPr>
        <w:ind w:left="2940" w:hanging="360"/>
      </w:pPr>
      <w:rPr>
        <w:rFonts w:ascii="Symbol" w:hAnsi="Symbol" w:hint="default"/>
      </w:rPr>
    </w:lvl>
    <w:lvl w:ilvl="4" w:tplc="20090003" w:tentative="1">
      <w:start w:val="1"/>
      <w:numFmt w:val="bullet"/>
      <w:lvlText w:val="o"/>
      <w:lvlJc w:val="left"/>
      <w:pPr>
        <w:ind w:left="3660" w:hanging="360"/>
      </w:pPr>
      <w:rPr>
        <w:rFonts w:ascii="Courier New" w:hAnsi="Courier New" w:cs="Courier New" w:hint="default"/>
      </w:rPr>
    </w:lvl>
    <w:lvl w:ilvl="5" w:tplc="20090005" w:tentative="1">
      <w:start w:val="1"/>
      <w:numFmt w:val="bullet"/>
      <w:lvlText w:val=""/>
      <w:lvlJc w:val="left"/>
      <w:pPr>
        <w:ind w:left="4380" w:hanging="360"/>
      </w:pPr>
      <w:rPr>
        <w:rFonts w:ascii="Wingdings" w:hAnsi="Wingdings" w:hint="default"/>
      </w:rPr>
    </w:lvl>
    <w:lvl w:ilvl="6" w:tplc="20090001" w:tentative="1">
      <w:start w:val="1"/>
      <w:numFmt w:val="bullet"/>
      <w:lvlText w:val=""/>
      <w:lvlJc w:val="left"/>
      <w:pPr>
        <w:ind w:left="5100" w:hanging="360"/>
      </w:pPr>
      <w:rPr>
        <w:rFonts w:ascii="Symbol" w:hAnsi="Symbol" w:hint="default"/>
      </w:rPr>
    </w:lvl>
    <w:lvl w:ilvl="7" w:tplc="20090003" w:tentative="1">
      <w:start w:val="1"/>
      <w:numFmt w:val="bullet"/>
      <w:lvlText w:val="o"/>
      <w:lvlJc w:val="left"/>
      <w:pPr>
        <w:ind w:left="5820" w:hanging="360"/>
      </w:pPr>
      <w:rPr>
        <w:rFonts w:ascii="Courier New" w:hAnsi="Courier New" w:cs="Courier New" w:hint="default"/>
      </w:rPr>
    </w:lvl>
    <w:lvl w:ilvl="8" w:tplc="20090005" w:tentative="1">
      <w:start w:val="1"/>
      <w:numFmt w:val="bullet"/>
      <w:lvlText w:val=""/>
      <w:lvlJc w:val="left"/>
      <w:pPr>
        <w:ind w:left="6540" w:hanging="360"/>
      </w:pPr>
      <w:rPr>
        <w:rFonts w:ascii="Wingdings" w:hAnsi="Wingdings" w:hint="default"/>
      </w:rPr>
    </w:lvl>
  </w:abstractNum>
  <w:abstractNum w:abstractNumId="7" w15:restartNumberingAfterBreak="0">
    <w:nsid w:val="2D1948BD"/>
    <w:multiLevelType w:val="hybridMultilevel"/>
    <w:tmpl w:val="36A0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3D0DB7"/>
    <w:multiLevelType w:val="hybridMultilevel"/>
    <w:tmpl w:val="5AEE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294E4A"/>
    <w:multiLevelType w:val="hybridMultilevel"/>
    <w:tmpl w:val="0C986270"/>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0" w15:restartNumberingAfterBreak="0">
    <w:nsid w:val="3A405ECD"/>
    <w:multiLevelType w:val="hybridMultilevel"/>
    <w:tmpl w:val="0A329BDC"/>
    <w:lvl w:ilvl="0" w:tplc="20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621B70"/>
    <w:multiLevelType w:val="hybridMultilevel"/>
    <w:tmpl w:val="884C46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39A016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9169A1"/>
    <w:multiLevelType w:val="hybridMultilevel"/>
    <w:tmpl w:val="14E0169E"/>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3" w15:restartNumberingAfterBreak="0">
    <w:nsid w:val="631C744F"/>
    <w:multiLevelType w:val="hybridMultilevel"/>
    <w:tmpl w:val="D7EAC0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39A0164">
      <w:start w:val="1"/>
      <w:numFmt w:val="decimal"/>
      <w:lvlText w:val="%3)"/>
      <w:lvlJc w:val="left"/>
      <w:pPr>
        <w:ind w:left="2340" w:hanging="360"/>
      </w:pPr>
      <w:rPr>
        <w:rFonts w:hint="default"/>
      </w:rPr>
    </w:lvl>
    <w:lvl w:ilvl="3" w:tplc="786C4610">
      <w:start w:val="6"/>
      <w:numFmt w:val="bullet"/>
      <w:lvlText w:val="-"/>
      <w:lvlJc w:val="left"/>
      <w:pPr>
        <w:ind w:left="2880" w:hanging="360"/>
      </w:pPr>
      <w:rPr>
        <w:rFonts w:ascii="Arial" w:eastAsiaTheme="minorHAnsi"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963AF2"/>
    <w:multiLevelType w:val="hybridMultilevel"/>
    <w:tmpl w:val="0D224DD8"/>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5" w15:restartNumberingAfterBreak="0">
    <w:nsid w:val="6B0F7EEB"/>
    <w:multiLevelType w:val="hybridMultilevel"/>
    <w:tmpl w:val="3BB4EE7C"/>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6" w15:restartNumberingAfterBreak="0">
    <w:nsid w:val="7311364E"/>
    <w:multiLevelType w:val="hybridMultilevel"/>
    <w:tmpl w:val="05249F28"/>
    <w:lvl w:ilvl="0" w:tplc="FB80FCAE">
      <w:start w:val="5"/>
      <w:numFmt w:val="bullet"/>
      <w:lvlText w:val="-"/>
      <w:lvlJc w:val="left"/>
      <w:pPr>
        <w:ind w:left="360" w:hanging="360"/>
      </w:pPr>
      <w:rPr>
        <w:rFonts w:ascii="Calibri" w:eastAsia="Times New Roman" w:hAnsi="Calibri" w:cs="Arial" w:hint="default"/>
        <w:b/>
      </w:rPr>
    </w:lvl>
    <w:lvl w:ilvl="1" w:tplc="20090003">
      <w:start w:val="1"/>
      <w:numFmt w:val="bullet"/>
      <w:lvlText w:val="o"/>
      <w:lvlJc w:val="left"/>
      <w:pPr>
        <w:ind w:left="1080" w:hanging="360"/>
      </w:pPr>
      <w:rPr>
        <w:rFonts w:ascii="Courier New" w:hAnsi="Courier New" w:cs="Courier New" w:hint="default"/>
      </w:rPr>
    </w:lvl>
    <w:lvl w:ilvl="2" w:tplc="20090005">
      <w:start w:val="1"/>
      <w:numFmt w:val="bullet"/>
      <w:lvlText w:val=""/>
      <w:lvlJc w:val="left"/>
      <w:pPr>
        <w:ind w:left="1800" w:hanging="360"/>
      </w:pPr>
      <w:rPr>
        <w:rFonts w:ascii="Wingdings" w:hAnsi="Wingdings" w:hint="default"/>
      </w:rPr>
    </w:lvl>
    <w:lvl w:ilvl="3" w:tplc="20090001">
      <w:start w:val="1"/>
      <w:numFmt w:val="bullet"/>
      <w:lvlText w:val=""/>
      <w:lvlJc w:val="left"/>
      <w:pPr>
        <w:ind w:left="2520" w:hanging="360"/>
      </w:pPr>
      <w:rPr>
        <w:rFonts w:ascii="Symbol" w:hAnsi="Symbol" w:hint="default"/>
      </w:rPr>
    </w:lvl>
    <w:lvl w:ilvl="4" w:tplc="20090003" w:tentative="1">
      <w:start w:val="1"/>
      <w:numFmt w:val="bullet"/>
      <w:lvlText w:val="o"/>
      <w:lvlJc w:val="left"/>
      <w:pPr>
        <w:ind w:left="3240" w:hanging="360"/>
      </w:pPr>
      <w:rPr>
        <w:rFonts w:ascii="Courier New" w:hAnsi="Courier New" w:cs="Courier New" w:hint="default"/>
      </w:rPr>
    </w:lvl>
    <w:lvl w:ilvl="5" w:tplc="20090005" w:tentative="1">
      <w:start w:val="1"/>
      <w:numFmt w:val="bullet"/>
      <w:lvlText w:val=""/>
      <w:lvlJc w:val="left"/>
      <w:pPr>
        <w:ind w:left="3960" w:hanging="360"/>
      </w:pPr>
      <w:rPr>
        <w:rFonts w:ascii="Wingdings" w:hAnsi="Wingdings" w:hint="default"/>
      </w:rPr>
    </w:lvl>
    <w:lvl w:ilvl="6" w:tplc="20090001" w:tentative="1">
      <w:start w:val="1"/>
      <w:numFmt w:val="bullet"/>
      <w:lvlText w:val=""/>
      <w:lvlJc w:val="left"/>
      <w:pPr>
        <w:ind w:left="4680" w:hanging="360"/>
      </w:pPr>
      <w:rPr>
        <w:rFonts w:ascii="Symbol" w:hAnsi="Symbol" w:hint="default"/>
      </w:rPr>
    </w:lvl>
    <w:lvl w:ilvl="7" w:tplc="20090003" w:tentative="1">
      <w:start w:val="1"/>
      <w:numFmt w:val="bullet"/>
      <w:lvlText w:val="o"/>
      <w:lvlJc w:val="left"/>
      <w:pPr>
        <w:ind w:left="5400" w:hanging="360"/>
      </w:pPr>
      <w:rPr>
        <w:rFonts w:ascii="Courier New" w:hAnsi="Courier New" w:cs="Courier New" w:hint="default"/>
      </w:rPr>
    </w:lvl>
    <w:lvl w:ilvl="8" w:tplc="20090005" w:tentative="1">
      <w:start w:val="1"/>
      <w:numFmt w:val="bullet"/>
      <w:lvlText w:val=""/>
      <w:lvlJc w:val="left"/>
      <w:pPr>
        <w:ind w:left="6120" w:hanging="360"/>
      </w:pPr>
      <w:rPr>
        <w:rFonts w:ascii="Wingdings" w:hAnsi="Wingdings" w:hint="default"/>
      </w:rPr>
    </w:lvl>
  </w:abstractNum>
  <w:abstractNum w:abstractNumId="17" w15:restartNumberingAfterBreak="0">
    <w:nsid w:val="7CF34A28"/>
    <w:multiLevelType w:val="hybridMultilevel"/>
    <w:tmpl w:val="2FC86AFA"/>
    <w:lvl w:ilvl="0" w:tplc="A188477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CB1AC4"/>
    <w:multiLevelType w:val="hybridMultilevel"/>
    <w:tmpl w:val="828CB7FA"/>
    <w:lvl w:ilvl="0" w:tplc="A9188D80">
      <w:start w:val="1"/>
      <w:numFmt w:val="decimal"/>
      <w:lvlText w:val="%1."/>
      <w:lvlJc w:val="left"/>
      <w:pPr>
        <w:ind w:left="36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3"/>
  </w:num>
  <w:num w:numId="3">
    <w:abstractNumId w:val="3"/>
  </w:num>
  <w:num w:numId="4">
    <w:abstractNumId w:val="17"/>
  </w:num>
  <w:num w:numId="5">
    <w:abstractNumId w:val="10"/>
  </w:num>
  <w:num w:numId="6">
    <w:abstractNumId w:val="11"/>
  </w:num>
  <w:num w:numId="7">
    <w:abstractNumId w:val="4"/>
  </w:num>
  <w:num w:numId="8">
    <w:abstractNumId w:val="5"/>
  </w:num>
  <w:num w:numId="9">
    <w:abstractNumId w:val="0"/>
  </w:num>
  <w:num w:numId="10">
    <w:abstractNumId w:val="18"/>
  </w:num>
  <w:num w:numId="11">
    <w:abstractNumId w:val="8"/>
  </w:num>
  <w:num w:numId="12">
    <w:abstractNumId w:val="7"/>
  </w:num>
  <w:num w:numId="13">
    <w:abstractNumId w:val="15"/>
  </w:num>
  <w:num w:numId="14">
    <w:abstractNumId w:val="12"/>
  </w:num>
  <w:num w:numId="15">
    <w:abstractNumId w:val="14"/>
  </w:num>
  <w:num w:numId="16">
    <w:abstractNumId w:val="1"/>
  </w:num>
  <w:num w:numId="17">
    <w:abstractNumId w:val="9"/>
  </w:num>
  <w:num w:numId="18">
    <w:abstractNumId w:val="6"/>
  </w:num>
  <w:num w:numId="19">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zNjMzMDEzNzewMDFS0lEKTi0uzszPAykwqgUAOrdQviwAAAA="/>
  </w:docVars>
  <w:rsids>
    <w:rsidRoot w:val="00A27784"/>
    <w:rsid w:val="00014570"/>
    <w:rsid w:val="00022876"/>
    <w:rsid w:val="00024304"/>
    <w:rsid w:val="0002444E"/>
    <w:rsid w:val="00031CBB"/>
    <w:rsid w:val="000339DB"/>
    <w:rsid w:val="000346F5"/>
    <w:rsid w:val="00046D43"/>
    <w:rsid w:val="00047F01"/>
    <w:rsid w:val="0006123E"/>
    <w:rsid w:val="00062573"/>
    <w:rsid w:val="0006265F"/>
    <w:rsid w:val="00070D1D"/>
    <w:rsid w:val="00072220"/>
    <w:rsid w:val="000755A8"/>
    <w:rsid w:val="000756A0"/>
    <w:rsid w:val="00075F5E"/>
    <w:rsid w:val="00076643"/>
    <w:rsid w:val="0008137B"/>
    <w:rsid w:val="000820C7"/>
    <w:rsid w:val="000824DD"/>
    <w:rsid w:val="00084FE7"/>
    <w:rsid w:val="00085BF4"/>
    <w:rsid w:val="00086A5B"/>
    <w:rsid w:val="00090F84"/>
    <w:rsid w:val="00096E43"/>
    <w:rsid w:val="000B5E63"/>
    <w:rsid w:val="000B6950"/>
    <w:rsid w:val="000C3718"/>
    <w:rsid w:val="000D05DE"/>
    <w:rsid w:val="000D453E"/>
    <w:rsid w:val="000E3A64"/>
    <w:rsid w:val="000F0890"/>
    <w:rsid w:val="000F0A3F"/>
    <w:rsid w:val="000F425B"/>
    <w:rsid w:val="000F425E"/>
    <w:rsid w:val="000F43BB"/>
    <w:rsid w:val="00104648"/>
    <w:rsid w:val="001048A9"/>
    <w:rsid w:val="001065D3"/>
    <w:rsid w:val="0011457F"/>
    <w:rsid w:val="00115080"/>
    <w:rsid w:val="001154EA"/>
    <w:rsid w:val="00116C24"/>
    <w:rsid w:val="0012048E"/>
    <w:rsid w:val="001249F4"/>
    <w:rsid w:val="00124C7D"/>
    <w:rsid w:val="001255E6"/>
    <w:rsid w:val="00126933"/>
    <w:rsid w:val="00134310"/>
    <w:rsid w:val="001354B4"/>
    <w:rsid w:val="00140706"/>
    <w:rsid w:val="00140F1A"/>
    <w:rsid w:val="00141F24"/>
    <w:rsid w:val="00150BB0"/>
    <w:rsid w:val="0015458E"/>
    <w:rsid w:val="00161ECD"/>
    <w:rsid w:val="0017189D"/>
    <w:rsid w:val="001721C8"/>
    <w:rsid w:val="00175A1F"/>
    <w:rsid w:val="00176145"/>
    <w:rsid w:val="00181D35"/>
    <w:rsid w:val="0019580E"/>
    <w:rsid w:val="00196E96"/>
    <w:rsid w:val="001B066D"/>
    <w:rsid w:val="001B120A"/>
    <w:rsid w:val="001B3D39"/>
    <w:rsid w:val="001B519C"/>
    <w:rsid w:val="001B60E4"/>
    <w:rsid w:val="001C1547"/>
    <w:rsid w:val="001C6537"/>
    <w:rsid w:val="001D2E1C"/>
    <w:rsid w:val="001D5130"/>
    <w:rsid w:val="001D5F9B"/>
    <w:rsid w:val="001E2394"/>
    <w:rsid w:val="001E3B0C"/>
    <w:rsid w:val="001E3FB1"/>
    <w:rsid w:val="001F2511"/>
    <w:rsid w:val="001F422E"/>
    <w:rsid w:val="002008F5"/>
    <w:rsid w:val="00214014"/>
    <w:rsid w:val="00225B59"/>
    <w:rsid w:val="00226C68"/>
    <w:rsid w:val="00231D4D"/>
    <w:rsid w:val="002326E8"/>
    <w:rsid w:val="00240546"/>
    <w:rsid w:val="002413EB"/>
    <w:rsid w:val="002415F6"/>
    <w:rsid w:val="00244C30"/>
    <w:rsid w:val="00253710"/>
    <w:rsid w:val="0027317D"/>
    <w:rsid w:val="00275886"/>
    <w:rsid w:val="00290A4C"/>
    <w:rsid w:val="00292049"/>
    <w:rsid w:val="00297300"/>
    <w:rsid w:val="00297659"/>
    <w:rsid w:val="002A0AF8"/>
    <w:rsid w:val="002A2927"/>
    <w:rsid w:val="002A5435"/>
    <w:rsid w:val="002A78B8"/>
    <w:rsid w:val="002B5F9F"/>
    <w:rsid w:val="002B7062"/>
    <w:rsid w:val="002C1CFF"/>
    <w:rsid w:val="002C46E7"/>
    <w:rsid w:val="002C5D2F"/>
    <w:rsid w:val="002D0A4A"/>
    <w:rsid w:val="002D51E9"/>
    <w:rsid w:val="002E1B1B"/>
    <w:rsid w:val="002E2DF4"/>
    <w:rsid w:val="002E2EC6"/>
    <w:rsid w:val="002E2FEB"/>
    <w:rsid w:val="0030057F"/>
    <w:rsid w:val="00310CF1"/>
    <w:rsid w:val="003155A6"/>
    <w:rsid w:val="00321496"/>
    <w:rsid w:val="003277B0"/>
    <w:rsid w:val="00330F0D"/>
    <w:rsid w:val="003317FC"/>
    <w:rsid w:val="003321FF"/>
    <w:rsid w:val="003339F9"/>
    <w:rsid w:val="003357FD"/>
    <w:rsid w:val="00344367"/>
    <w:rsid w:val="00351F2A"/>
    <w:rsid w:val="00352EB5"/>
    <w:rsid w:val="0035473C"/>
    <w:rsid w:val="00356B41"/>
    <w:rsid w:val="00361725"/>
    <w:rsid w:val="0036337C"/>
    <w:rsid w:val="00364FD7"/>
    <w:rsid w:val="00371361"/>
    <w:rsid w:val="00372080"/>
    <w:rsid w:val="00373214"/>
    <w:rsid w:val="00374019"/>
    <w:rsid w:val="00384D08"/>
    <w:rsid w:val="003B16D0"/>
    <w:rsid w:val="003B1BBA"/>
    <w:rsid w:val="003B1F32"/>
    <w:rsid w:val="003B4568"/>
    <w:rsid w:val="003B4EA2"/>
    <w:rsid w:val="003C0726"/>
    <w:rsid w:val="003C2DB0"/>
    <w:rsid w:val="003D6800"/>
    <w:rsid w:val="003D6D61"/>
    <w:rsid w:val="003E7D9F"/>
    <w:rsid w:val="003F4624"/>
    <w:rsid w:val="00402FF8"/>
    <w:rsid w:val="004037E0"/>
    <w:rsid w:val="00403F7B"/>
    <w:rsid w:val="00404BF7"/>
    <w:rsid w:val="00406D91"/>
    <w:rsid w:val="00411406"/>
    <w:rsid w:val="0041292F"/>
    <w:rsid w:val="00414382"/>
    <w:rsid w:val="00415320"/>
    <w:rsid w:val="004222AD"/>
    <w:rsid w:val="00424B33"/>
    <w:rsid w:val="0042704E"/>
    <w:rsid w:val="00427EA5"/>
    <w:rsid w:val="0043372B"/>
    <w:rsid w:val="00434301"/>
    <w:rsid w:val="0043526A"/>
    <w:rsid w:val="00437D1C"/>
    <w:rsid w:val="00440C35"/>
    <w:rsid w:val="00452E5A"/>
    <w:rsid w:val="00453F01"/>
    <w:rsid w:val="00453F77"/>
    <w:rsid w:val="00456321"/>
    <w:rsid w:val="0045647E"/>
    <w:rsid w:val="0046134A"/>
    <w:rsid w:val="00470C9D"/>
    <w:rsid w:val="00472AF2"/>
    <w:rsid w:val="004808F6"/>
    <w:rsid w:val="004956E3"/>
    <w:rsid w:val="00496D33"/>
    <w:rsid w:val="004A0E03"/>
    <w:rsid w:val="004A5D0B"/>
    <w:rsid w:val="004A6BCF"/>
    <w:rsid w:val="004B3674"/>
    <w:rsid w:val="004B38CD"/>
    <w:rsid w:val="004B45D4"/>
    <w:rsid w:val="004B59E8"/>
    <w:rsid w:val="004C258A"/>
    <w:rsid w:val="004C549B"/>
    <w:rsid w:val="004E518F"/>
    <w:rsid w:val="004E5252"/>
    <w:rsid w:val="004F0428"/>
    <w:rsid w:val="004F2018"/>
    <w:rsid w:val="004F36A9"/>
    <w:rsid w:val="004F3F6A"/>
    <w:rsid w:val="004F6DB3"/>
    <w:rsid w:val="004F7DD5"/>
    <w:rsid w:val="00506F00"/>
    <w:rsid w:val="005110F2"/>
    <w:rsid w:val="00514E9B"/>
    <w:rsid w:val="00516D77"/>
    <w:rsid w:val="0051705E"/>
    <w:rsid w:val="00517922"/>
    <w:rsid w:val="00523941"/>
    <w:rsid w:val="00527004"/>
    <w:rsid w:val="005344B3"/>
    <w:rsid w:val="0053513E"/>
    <w:rsid w:val="00537E4C"/>
    <w:rsid w:val="005413FE"/>
    <w:rsid w:val="00550729"/>
    <w:rsid w:val="00556441"/>
    <w:rsid w:val="00562635"/>
    <w:rsid w:val="00564AB4"/>
    <w:rsid w:val="00565093"/>
    <w:rsid w:val="005658A8"/>
    <w:rsid w:val="0056629E"/>
    <w:rsid w:val="00567DD7"/>
    <w:rsid w:val="00571074"/>
    <w:rsid w:val="0057215B"/>
    <w:rsid w:val="0057331D"/>
    <w:rsid w:val="00574897"/>
    <w:rsid w:val="005764F5"/>
    <w:rsid w:val="00580832"/>
    <w:rsid w:val="005825B3"/>
    <w:rsid w:val="00582DB3"/>
    <w:rsid w:val="00582E1B"/>
    <w:rsid w:val="00587AEA"/>
    <w:rsid w:val="00591459"/>
    <w:rsid w:val="00597244"/>
    <w:rsid w:val="005972FF"/>
    <w:rsid w:val="005A4AB7"/>
    <w:rsid w:val="005A5FD7"/>
    <w:rsid w:val="005A680C"/>
    <w:rsid w:val="005B0BAA"/>
    <w:rsid w:val="005B51FC"/>
    <w:rsid w:val="005C0ECD"/>
    <w:rsid w:val="005C1699"/>
    <w:rsid w:val="005C2EA7"/>
    <w:rsid w:val="005C3A2D"/>
    <w:rsid w:val="005C3CE9"/>
    <w:rsid w:val="005D09BF"/>
    <w:rsid w:val="005D3B19"/>
    <w:rsid w:val="005D67CF"/>
    <w:rsid w:val="005D6F1E"/>
    <w:rsid w:val="005E1AC1"/>
    <w:rsid w:val="005E3C2A"/>
    <w:rsid w:val="005E4C06"/>
    <w:rsid w:val="005E4C88"/>
    <w:rsid w:val="005F751C"/>
    <w:rsid w:val="00600EB1"/>
    <w:rsid w:val="00602EB5"/>
    <w:rsid w:val="00604FF2"/>
    <w:rsid w:val="006069D1"/>
    <w:rsid w:val="0061344F"/>
    <w:rsid w:val="00614544"/>
    <w:rsid w:val="00615112"/>
    <w:rsid w:val="006176E5"/>
    <w:rsid w:val="0062039F"/>
    <w:rsid w:val="00624E75"/>
    <w:rsid w:val="006252A0"/>
    <w:rsid w:val="006347CF"/>
    <w:rsid w:val="0063532B"/>
    <w:rsid w:val="006400E5"/>
    <w:rsid w:val="00640E14"/>
    <w:rsid w:val="00641009"/>
    <w:rsid w:val="00644195"/>
    <w:rsid w:val="0064662B"/>
    <w:rsid w:val="00654715"/>
    <w:rsid w:val="0065589A"/>
    <w:rsid w:val="0066187B"/>
    <w:rsid w:val="00662938"/>
    <w:rsid w:val="006643C6"/>
    <w:rsid w:val="00675920"/>
    <w:rsid w:val="006762A7"/>
    <w:rsid w:val="00680CC2"/>
    <w:rsid w:val="006832BC"/>
    <w:rsid w:val="0068459D"/>
    <w:rsid w:val="00696A38"/>
    <w:rsid w:val="00697810"/>
    <w:rsid w:val="006A2CD4"/>
    <w:rsid w:val="006A451E"/>
    <w:rsid w:val="006A7152"/>
    <w:rsid w:val="006B0D6D"/>
    <w:rsid w:val="006B5C30"/>
    <w:rsid w:val="006B5CD9"/>
    <w:rsid w:val="006C1325"/>
    <w:rsid w:val="006C40EB"/>
    <w:rsid w:val="006C47DC"/>
    <w:rsid w:val="006C7557"/>
    <w:rsid w:val="006D1741"/>
    <w:rsid w:val="006D17D7"/>
    <w:rsid w:val="006D2BA9"/>
    <w:rsid w:val="006E0188"/>
    <w:rsid w:val="006E3A2B"/>
    <w:rsid w:val="006E4224"/>
    <w:rsid w:val="006E4375"/>
    <w:rsid w:val="006E62D9"/>
    <w:rsid w:val="006F1EED"/>
    <w:rsid w:val="006F3CD8"/>
    <w:rsid w:val="006F5D2D"/>
    <w:rsid w:val="00706759"/>
    <w:rsid w:val="00706A12"/>
    <w:rsid w:val="00711306"/>
    <w:rsid w:val="00712AC0"/>
    <w:rsid w:val="00712D59"/>
    <w:rsid w:val="007138FB"/>
    <w:rsid w:val="00714B6C"/>
    <w:rsid w:val="00722C66"/>
    <w:rsid w:val="0074433C"/>
    <w:rsid w:val="007536DE"/>
    <w:rsid w:val="00753DDD"/>
    <w:rsid w:val="00754079"/>
    <w:rsid w:val="007551B5"/>
    <w:rsid w:val="00755A48"/>
    <w:rsid w:val="00764127"/>
    <w:rsid w:val="00765E66"/>
    <w:rsid w:val="00771B56"/>
    <w:rsid w:val="00776F86"/>
    <w:rsid w:val="00782A02"/>
    <w:rsid w:val="00784DEF"/>
    <w:rsid w:val="00797EBC"/>
    <w:rsid w:val="007A0153"/>
    <w:rsid w:val="007A176A"/>
    <w:rsid w:val="007A452A"/>
    <w:rsid w:val="007A46D6"/>
    <w:rsid w:val="007A553B"/>
    <w:rsid w:val="007A7940"/>
    <w:rsid w:val="007B192E"/>
    <w:rsid w:val="007C0E55"/>
    <w:rsid w:val="007C0EB3"/>
    <w:rsid w:val="007C55E9"/>
    <w:rsid w:val="007D093F"/>
    <w:rsid w:val="007D2253"/>
    <w:rsid w:val="007D40E4"/>
    <w:rsid w:val="007D43E9"/>
    <w:rsid w:val="007E2423"/>
    <w:rsid w:val="007E486D"/>
    <w:rsid w:val="007E53FC"/>
    <w:rsid w:val="007E7E9B"/>
    <w:rsid w:val="007F05F9"/>
    <w:rsid w:val="007F2B52"/>
    <w:rsid w:val="007F3981"/>
    <w:rsid w:val="007F3D6B"/>
    <w:rsid w:val="007F47C4"/>
    <w:rsid w:val="007F639B"/>
    <w:rsid w:val="0080140B"/>
    <w:rsid w:val="008034A2"/>
    <w:rsid w:val="0080420A"/>
    <w:rsid w:val="00804649"/>
    <w:rsid w:val="0081056B"/>
    <w:rsid w:val="00813963"/>
    <w:rsid w:val="00817140"/>
    <w:rsid w:val="0082082D"/>
    <w:rsid w:val="00823645"/>
    <w:rsid w:val="008304F0"/>
    <w:rsid w:val="0083282F"/>
    <w:rsid w:val="00832AF1"/>
    <w:rsid w:val="008346F2"/>
    <w:rsid w:val="00843DEC"/>
    <w:rsid w:val="00851804"/>
    <w:rsid w:val="0085315F"/>
    <w:rsid w:val="008644F0"/>
    <w:rsid w:val="0087186D"/>
    <w:rsid w:val="0087382A"/>
    <w:rsid w:val="00881041"/>
    <w:rsid w:val="008831D2"/>
    <w:rsid w:val="00885F14"/>
    <w:rsid w:val="00886F61"/>
    <w:rsid w:val="008918B2"/>
    <w:rsid w:val="008934D3"/>
    <w:rsid w:val="00894714"/>
    <w:rsid w:val="008979EF"/>
    <w:rsid w:val="008A1676"/>
    <w:rsid w:val="008A5579"/>
    <w:rsid w:val="008B1EB1"/>
    <w:rsid w:val="008B2C44"/>
    <w:rsid w:val="008B30D2"/>
    <w:rsid w:val="008B4EFC"/>
    <w:rsid w:val="008B5695"/>
    <w:rsid w:val="008B6921"/>
    <w:rsid w:val="008C0F4C"/>
    <w:rsid w:val="008C1310"/>
    <w:rsid w:val="008C1885"/>
    <w:rsid w:val="008C33DE"/>
    <w:rsid w:val="008C5DFA"/>
    <w:rsid w:val="008D72BA"/>
    <w:rsid w:val="008E0422"/>
    <w:rsid w:val="008E0D6B"/>
    <w:rsid w:val="008E2E14"/>
    <w:rsid w:val="008E7808"/>
    <w:rsid w:val="008F6B51"/>
    <w:rsid w:val="0090366A"/>
    <w:rsid w:val="00904004"/>
    <w:rsid w:val="00905421"/>
    <w:rsid w:val="00906531"/>
    <w:rsid w:val="009070BD"/>
    <w:rsid w:val="00912C80"/>
    <w:rsid w:val="0091492A"/>
    <w:rsid w:val="0091608A"/>
    <w:rsid w:val="009217E9"/>
    <w:rsid w:val="00922C90"/>
    <w:rsid w:val="00922FF5"/>
    <w:rsid w:val="00931163"/>
    <w:rsid w:val="0093248D"/>
    <w:rsid w:val="00944445"/>
    <w:rsid w:val="00946EAA"/>
    <w:rsid w:val="00953F5E"/>
    <w:rsid w:val="0095422F"/>
    <w:rsid w:val="00961F01"/>
    <w:rsid w:val="00964525"/>
    <w:rsid w:val="00971095"/>
    <w:rsid w:val="00971620"/>
    <w:rsid w:val="009731B5"/>
    <w:rsid w:val="00976A12"/>
    <w:rsid w:val="009776D3"/>
    <w:rsid w:val="00981174"/>
    <w:rsid w:val="00982774"/>
    <w:rsid w:val="00983A5D"/>
    <w:rsid w:val="00985F4F"/>
    <w:rsid w:val="00986854"/>
    <w:rsid w:val="009A0BA3"/>
    <w:rsid w:val="009A4840"/>
    <w:rsid w:val="009A530E"/>
    <w:rsid w:val="009B2361"/>
    <w:rsid w:val="009C2BF2"/>
    <w:rsid w:val="009C3300"/>
    <w:rsid w:val="009C73F7"/>
    <w:rsid w:val="009D0975"/>
    <w:rsid w:val="009D231F"/>
    <w:rsid w:val="009E1D5A"/>
    <w:rsid w:val="009E4938"/>
    <w:rsid w:val="009E638F"/>
    <w:rsid w:val="009E760D"/>
    <w:rsid w:val="009E7EC9"/>
    <w:rsid w:val="009F0032"/>
    <w:rsid w:val="009F51FD"/>
    <w:rsid w:val="00A033BB"/>
    <w:rsid w:val="00A038EF"/>
    <w:rsid w:val="00A03B72"/>
    <w:rsid w:val="00A1334B"/>
    <w:rsid w:val="00A15ABB"/>
    <w:rsid w:val="00A21D52"/>
    <w:rsid w:val="00A25977"/>
    <w:rsid w:val="00A27784"/>
    <w:rsid w:val="00A40D0E"/>
    <w:rsid w:val="00A41196"/>
    <w:rsid w:val="00A460C8"/>
    <w:rsid w:val="00A546E2"/>
    <w:rsid w:val="00A55D63"/>
    <w:rsid w:val="00A61E07"/>
    <w:rsid w:val="00A64D37"/>
    <w:rsid w:val="00A65110"/>
    <w:rsid w:val="00A6574C"/>
    <w:rsid w:val="00A66BC8"/>
    <w:rsid w:val="00A71134"/>
    <w:rsid w:val="00A73BD2"/>
    <w:rsid w:val="00A73EDD"/>
    <w:rsid w:val="00A807F7"/>
    <w:rsid w:val="00A81131"/>
    <w:rsid w:val="00A820D5"/>
    <w:rsid w:val="00A82657"/>
    <w:rsid w:val="00A92A42"/>
    <w:rsid w:val="00A92DFA"/>
    <w:rsid w:val="00AA59E8"/>
    <w:rsid w:val="00AA698A"/>
    <w:rsid w:val="00AB07CA"/>
    <w:rsid w:val="00AB30B6"/>
    <w:rsid w:val="00AE4381"/>
    <w:rsid w:val="00AE5326"/>
    <w:rsid w:val="00AE6A79"/>
    <w:rsid w:val="00AE7ACC"/>
    <w:rsid w:val="00AF224A"/>
    <w:rsid w:val="00B02610"/>
    <w:rsid w:val="00B04D6A"/>
    <w:rsid w:val="00B079AF"/>
    <w:rsid w:val="00B1015D"/>
    <w:rsid w:val="00B10177"/>
    <w:rsid w:val="00B1558A"/>
    <w:rsid w:val="00B17E81"/>
    <w:rsid w:val="00B22314"/>
    <w:rsid w:val="00B3134D"/>
    <w:rsid w:val="00B34E92"/>
    <w:rsid w:val="00B43959"/>
    <w:rsid w:val="00B47990"/>
    <w:rsid w:val="00B50E62"/>
    <w:rsid w:val="00B52010"/>
    <w:rsid w:val="00B53449"/>
    <w:rsid w:val="00B541E4"/>
    <w:rsid w:val="00B56D27"/>
    <w:rsid w:val="00B72E05"/>
    <w:rsid w:val="00B77A37"/>
    <w:rsid w:val="00B851FA"/>
    <w:rsid w:val="00B9420C"/>
    <w:rsid w:val="00B95CB6"/>
    <w:rsid w:val="00BA3047"/>
    <w:rsid w:val="00BA486C"/>
    <w:rsid w:val="00BA62F6"/>
    <w:rsid w:val="00BA699D"/>
    <w:rsid w:val="00BB251D"/>
    <w:rsid w:val="00BB34D3"/>
    <w:rsid w:val="00BB5E5A"/>
    <w:rsid w:val="00BC256B"/>
    <w:rsid w:val="00BD44E3"/>
    <w:rsid w:val="00BD588E"/>
    <w:rsid w:val="00BD5BAC"/>
    <w:rsid w:val="00BE1FDB"/>
    <w:rsid w:val="00BE5118"/>
    <w:rsid w:val="00BE539A"/>
    <w:rsid w:val="00BE6970"/>
    <w:rsid w:val="00BE790B"/>
    <w:rsid w:val="00BF7F0A"/>
    <w:rsid w:val="00C028E2"/>
    <w:rsid w:val="00C02FA1"/>
    <w:rsid w:val="00C04E6E"/>
    <w:rsid w:val="00C05E41"/>
    <w:rsid w:val="00C15B90"/>
    <w:rsid w:val="00C16ECE"/>
    <w:rsid w:val="00C20AC5"/>
    <w:rsid w:val="00C22AF5"/>
    <w:rsid w:val="00C25C45"/>
    <w:rsid w:val="00C30D22"/>
    <w:rsid w:val="00C333F8"/>
    <w:rsid w:val="00C375E0"/>
    <w:rsid w:val="00C41844"/>
    <w:rsid w:val="00C43246"/>
    <w:rsid w:val="00C44FD6"/>
    <w:rsid w:val="00C45B1C"/>
    <w:rsid w:val="00C546A6"/>
    <w:rsid w:val="00C564D4"/>
    <w:rsid w:val="00C62804"/>
    <w:rsid w:val="00C63DA0"/>
    <w:rsid w:val="00C65DEF"/>
    <w:rsid w:val="00C678B0"/>
    <w:rsid w:val="00C7003D"/>
    <w:rsid w:val="00C74602"/>
    <w:rsid w:val="00C74778"/>
    <w:rsid w:val="00C752B4"/>
    <w:rsid w:val="00C8181A"/>
    <w:rsid w:val="00C85466"/>
    <w:rsid w:val="00CA0A39"/>
    <w:rsid w:val="00CA1FF2"/>
    <w:rsid w:val="00CB1F6A"/>
    <w:rsid w:val="00CC0445"/>
    <w:rsid w:val="00CC4589"/>
    <w:rsid w:val="00CD1C0C"/>
    <w:rsid w:val="00CD6080"/>
    <w:rsid w:val="00CD7349"/>
    <w:rsid w:val="00CD762D"/>
    <w:rsid w:val="00CE15FB"/>
    <w:rsid w:val="00CE76FF"/>
    <w:rsid w:val="00CF5D44"/>
    <w:rsid w:val="00CF7484"/>
    <w:rsid w:val="00D00666"/>
    <w:rsid w:val="00D01AC5"/>
    <w:rsid w:val="00D02BB2"/>
    <w:rsid w:val="00D06011"/>
    <w:rsid w:val="00D11D77"/>
    <w:rsid w:val="00D16FE2"/>
    <w:rsid w:val="00D234E6"/>
    <w:rsid w:val="00D23740"/>
    <w:rsid w:val="00D25239"/>
    <w:rsid w:val="00D26791"/>
    <w:rsid w:val="00D30F61"/>
    <w:rsid w:val="00D31D46"/>
    <w:rsid w:val="00D32E2D"/>
    <w:rsid w:val="00D34684"/>
    <w:rsid w:val="00D5379C"/>
    <w:rsid w:val="00D611B1"/>
    <w:rsid w:val="00D66A2E"/>
    <w:rsid w:val="00D76321"/>
    <w:rsid w:val="00D76C9B"/>
    <w:rsid w:val="00D86B78"/>
    <w:rsid w:val="00D95653"/>
    <w:rsid w:val="00DA3347"/>
    <w:rsid w:val="00DB4C34"/>
    <w:rsid w:val="00DC06D3"/>
    <w:rsid w:val="00DC4EDA"/>
    <w:rsid w:val="00DC5A55"/>
    <w:rsid w:val="00DC743B"/>
    <w:rsid w:val="00DE6135"/>
    <w:rsid w:val="00DE636B"/>
    <w:rsid w:val="00DF12DE"/>
    <w:rsid w:val="00DF2001"/>
    <w:rsid w:val="00E01777"/>
    <w:rsid w:val="00E021EE"/>
    <w:rsid w:val="00E05C91"/>
    <w:rsid w:val="00E065CB"/>
    <w:rsid w:val="00E13679"/>
    <w:rsid w:val="00E2692A"/>
    <w:rsid w:val="00E31953"/>
    <w:rsid w:val="00E4783D"/>
    <w:rsid w:val="00E5456A"/>
    <w:rsid w:val="00E5468A"/>
    <w:rsid w:val="00E57C05"/>
    <w:rsid w:val="00E603C2"/>
    <w:rsid w:val="00E60528"/>
    <w:rsid w:val="00E60814"/>
    <w:rsid w:val="00E672A5"/>
    <w:rsid w:val="00E711A5"/>
    <w:rsid w:val="00E71C5C"/>
    <w:rsid w:val="00E73D56"/>
    <w:rsid w:val="00E7598A"/>
    <w:rsid w:val="00E84BDF"/>
    <w:rsid w:val="00E86FA0"/>
    <w:rsid w:val="00E90551"/>
    <w:rsid w:val="00E9076C"/>
    <w:rsid w:val="00E9271B"/>
    <w:rsid w:val="00E93571"/>
    <w:rsid w:val="00E97B0B"/>
    <w:rsid w:val="00EA2E95"/>
    <w:rsid w:val="00EA5CD6"/>
    <w:rsid w:val="00EA617D"/>
    <w:rsid w:val="00EB4A10"/>
    <w:rsid w:val="00EB7E9E"/>
    <w:rsid w:val="00EC19F4"/>
    <w:rsid w:val="00EC2DD5"/>
    <w:rsid w:val="00ED6D52"/>
    <w:rsid w:val="00EE082D"/>
    <w:rsid w:val="00EE4385"/>
    <w:rsid w:val="00EE54B2"/>
    <w:rsid w:val="00EE5CC2"/>
    <w:rsid w:val="00EF118F"/>
    <w:rsid w:val="00EF6EA6"/>
    <w:rsid w:val="00F01802"/>
    <w:rsid w:val="00F0408D"/>
    <w:rsid w:val="00F06956"/>
    <w:rsid w:val="00F070DF"/>
    <w:rsid w:val="00F1184B"/>
    <w:rsid w:val="00F12CC3"/>
    <w:rsid w:val="00F1688F"/>
    <w:rsid w:val="00F20B15"/>
    <w:rsid w:val="00F23B18"/>
    <w:rsid w:val="00F3195C"/>
    <w:rsid w:val="00F36EA5"/>
    <w:rsid w:val="00F40015"/>
    <w:rsid w:val="00F40191"/>
    <w:rsid w:val="00F42D39"/>
    <w:rsid w:val="00F45A5C"/>
    <w:rsid w:val="00F45BE0"/>
    <w:rsid w:val="00F47A2E"/>
    <w:rsid w:val="00F51463"/>
    <w:rsid w:val="00F53408"/>
    <w:rsid w:val="00F53DF5"/>
    <w:rsid w:val="00F53FEA"/>
    <w:rsid w:val="00F54701"/>
    <w:rsid w:val="00F547FA"/>
    <w:rsid w:val="00F57414"/>
    <w:rsid w:val="00F60C31"/>
    <w:rsid w:val="00F6223C"/>
    <w:rsid w:val="00F62B31"/>
    <w:rsid w:val="00F66041"/>
    <w:rsid w:val="00F71D57"/>
    <w:rsid w:val="00F72BC0"/>
    <w:rsid w:val="00F7521B"/>
    <w:rsid w:val="00F82FCF"/>
    <w:rsid w:val="00F83955"/>
    <w:rsid w:val="00F83C42"/>
    <w:rsid w:val="00F848EB"/>
    <w:rsid w:val="00F870BB"/>
    <w:rsid w:val="00F91135"/>
    <w:rsid w:val="00F96A15"/>
    <w:rsid w:val="00FA25DC"/>
    <w:rsid w:val="00FA2F17"/>
    <w:rsid w:val="00FA5961"/>
    <w:rsid w:val="00FA751A"/>
    <w:rsid w:val="00FB7493"/>
    <w:rsid w:val="00FC2F34"/>
    <w:rsid w:val="00FC4E57"/>
    <w:rsid w:val="00FC7E42"/>
    <w:rsid w:val="00FD003E"/>
    <w:rsid w:val="00FD04DC"/>
    <w:rsid w:val="00FD3BB5"/>
    <w:rsid w:val="00FE0CC3"/>
    <w:rsid w:val="00FE3080"/>
    <w:rsid w:val="00FE6A96"/>
    <w:rsid w:val="00FF6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59162B"/>
  <w15:docId w15:val="{9EA8B576-DA86-4772-A32C-D3A5DE449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938"/>
    <w:pPr>
      <w:suppressAutoHyphens/>
      <w:spacing w:before="120" w:after="120" w:line="240" w:lineRule="auto"/>
      <w:jc w:val="both"/>
    </w:pPr>
    <w:rPr>
      <w:rFonts w:ascii="Arial" w:eastAsia="Times New Roman" w:hAnsi="Arial" w:cs="Times New Roman"/>
      <w:szCs w:val="20"/>
      <w:lang w:val="en-GB"/>
    </w:rPr>
  </w:style>
  <w:style w:type="paragraph" w:styleId="Heading1">
    <w:name w:val="heading 1"/>
    <w:basedOn w:val="Normal"/>
    <w:next w:val="Normal"/>
    <w:link w:val="Heading1Char"/>
    <w:qFormat/>
    <w:rsid w:val="00A27784"/>
    <w:pPr>
      <w:keepNext/>
      <w:outlineLvl w:val="0"/>
    </w:pPr>
    <w:rPr>
      <w:rFonts w:ascii="Times New Roman" w:hAnsi="Times New Roman"/>
      <w:sz w:val="32"/>
    </w:rPr>
  </w:style>
  <w:style w:type="paragraph" w:styleId="Heading2">
    <w:name w:val="heading 2"/>
    <w:basedOn w:val="Normal"/>
    <w:next w:val="Normal"/>
    <w:link w:val="Heading2Char"/>
    <w:uiPriority w:val="9"/>
    <w:unhideWhenUsed/>
    <w:qFormat/>
    <w:rsid w:val="008E2E1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E4938"/>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A27784"/>
    <w:rPr>
      <w:rFonts w:ascii="Times New Roman" w:eastAsia="Times New Roman" w:hAnsi="Times New Roman" w:cs="Times New Roman"/>
      <w:sz w:val="32"/>
      <w:szCs w:val="20"/>
    </w:rPr>
  </w:style>
  <w:style w:type="table" w:styleId="TableGrid">
    <w:name w:val="Table Grid"/>
    <w:basedOn w:val="TableNormal"/>
    <w:uiPriority w:val="59"/>
    <w:rsid w:val="00A27784"/>
    <w:pPr>
      <w:spacing w:after="0" w:line="240" w:lineRule="auto"/>
    </w:pPr>
    <w:rPr>
      <w:rFonts w:ascii="Times New Roman" w:eastAsia="Times New Roman" w:hAnsi="Times New Roman" w:cs="Times New Roman"/>
      <w:sz w:val="20"/>
      <w:szCs w:val="20"/>
      <w:lang w:val="es-AR"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E4938"/>
    <w:pPr>
      <w:ind w:left="720"/>
    </w:pPr>
  </w:style>
  <w:style w:type="paragraph" w:styleId="Header">
    <w:name w:val="header"/>
    <w:basedOn w:val="Normal"/>
    <w:link w:val="HeaderChar"/>
    <w:uiPriority w:val="99"/>
    <w:unhideWhenUsed/>
    <w:rsid w:val="00A27784"/>
    <w:pPr>
      <w:tabs>
        <w:tab w:val="center" w:pos="4680"/>
        <w:tab w:val="right" w:pos="9360"/>
      </w:tabs>
    </w:pPr>
  </w:style>
  <w:style w:type="character" w:customStyle="1" w:styleId="HeaderChar">
    <w:name w:val="Header Char"/>
    <w:basedOn w:val="DefaultParagraphFont"/>
    <w:link w:val="Header"/>
    <w:uiPriority w:val="99"/>
    <w:qFormat/>
    <w:rsid w:val="00A27784"/>
    <w:rPr>
      <w:rFonts w:ascii="Arial" w:eastAsia="Times New Roman" w:hAnsi="Arial" w:cs="Times New Roman"/>
      <w:sz w:val="20"/>
      <w:szCs w:val="20"/>
    </w:rPr>
  </w:style>
  <w:style w:type="paragraph" w:styleId="Footer">
    <w:name w:val="footer"/>
    <w:basedOn w:val="Normal"/>
    <w:link w:val="FooterChar"/>
    <w:uiPriority w:val="99"/>
    <w:unhideWhenUsed/>
    <w:rsid w:val="00A27784"/>
    <w:pPr>
      <w:tabs>
        <w:tab w:val="center" w:pos="4680"/>
        <w:tab w:val="right" w:pos="9360"/>
      </w:tabs>
    </w:pPr>
  </w:style>
  <w:style w:type="character" w:customStyle="1" w:styleId="FooterChar">
    <w:name w:val="Footer Char"/>
    <w:basedOn w:val="DefaultParagraphFont"/>
    <w:link w:val="Footer"/>
    <w:uiPriority w:val="99"/>
    <w:qFormat/>
    <w:rsid w:val="00A27784"/>
    <w:rPr>
      <w:rFonts w:ascii="Arial" w:eastAsia="Times New Roman" w:hAnsi="Arial" w:cs="Times New Roman"/>
      <w:sz w:val="20"/>
      <w:szCs w:val="20"/>
    </w:rPr>
  </w:style>
  <w:style w:type="character" w:styleId="CommentReference">
    <w:name w:val="annotation reference"/>
    <w:basedOn w:val="DefaultParagraphFont"/>
    <w:uiPriority w:val="99"/>
    <w:semiHidden/>
    <w:unhideWhenUsed/>
    <w:qFormat/>
    <w:rsid w:val="00AA59E8"/>
    <w:rPr>
      <w:sz w:val="16"/>
      <w:szCs w:val="16"/>
    </w:rPr>
  </w:style>
  <w:style w:type="paragraph" w:styleId="CommentText">
    <w:name w:val="annotation text"/>
    <w:basedOn w:val="Normal"/>
    <w:link w:val="CommentTextChar"/>
    <w:uiPriority w:val="99"/>
    <w:semiHidden/>
    <w:unhideWhenUsed/>
    <w:qFormat/>
    <w:rsid w:val="00AA59E8"/>
  </w:style>
  <w:style w:type="character" w:customStyle="1" w:styleId="CommentTextChar">
    <w:name w:val="Comment Text Char"/>
    <w:basedOn w:val="DefaultParagraphFont"/>
    <w:link w:val="CommentText"/>
    <w:uiPriority w:val="99"/>
    <w:semiHidden/>
    <w:qFormat/>
    <w:rsid w:val="00AA59E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qFormat/>
    <w:rsid w:val="00AA59E8"/>
    <w:rPr>
      <w:b/>
      <w:bCs/>
    </w:rPr>
  </w:style>
  <w:style w:type="character" w:customStyle="1" w:styleId="CommentSubjectChar">
    <w:name w:val="Comment Subject Char"/>
    <w:basedOn w:val="CommentTextChar"/>
    <w:link w:val="CommentSubject"/>
    <w:uiPriority w:val="99"/>
    <w:semiHidden/>
    <w:qFormat/>
    <w:rsid w:val="00AA59E8"/>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qFormat/>
    <w:rsid w:val="00AA59E8"/>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AA59E8"/>
    <w:rPr>
      <w:rFonts w:ascii="Tahoma" w:eastAsia="Times New Roman" w:hAnsi="Tahoma" w:cs="Tahoma"/>
      <w:sz w:val="16"/>
      <w:szCs w:val="16"/>
    </w:rPr>
  </w:style>
  <w:style w:type="character" w:customStyle="1" w:styleId="Heading3Char">
    <w:name w:val="Heading 3 Char"/>
    <w:basedOn w:val="DefaultParagraphFont"/>
    <w:link w:val="Heading3"/>
    <w:uiPriority w:val="9"/>
    <w:qFormat/>
    <w:rsid w:val="00090F84"/>
    <w:rPr>
      <w:rFonts w:ascii="Arial" w:eastAsiaTheme="majorEastAsia" w:hAnsi="Arial" w:cstheme="majorBidi"/>
      <w:b/>
      <w:bCs/>
      <w:color w:val="4F81BD" w:themeColor="accent1"/>
      <w:szCs w:val="20"/>
      <w:lang w:val="en-GB"/>
    </w:rPr>
  </w:style>
  <w:style w:type="paragraph" w:styleId="BodyTextIndent3">
    <w:name w:val="Body Text Indent 3"/>
    <w:basedOn w:val="Normal"/>
    <w:link w:val="BodyTextIndent3Char"/>
    <w:unhideWhenUsed/>
    <w:qFormat/>
    <w:rsid w:val="009E4938"/>
    <w:pPr>
      <w:widowControl w:val="0"/>
      <w:ind w:left="360"/>
    </w:pPr>
    <w:rPr>
      <w:rFonts w:eastAsiaTheme="minorEastAsia" w:cs="Arial"/>
      <w:color w:val="000000"/>
      <w:sz w:val="16"/>
      <w:szCs w:val="16"/>
      <w:lang w:val="es-AR" w:eastAsia="es-AR"/>
    </w:rPr>
  </w:style>
  <w:style w:type="character" w:customStyle="1" w:styleId="BodyTextIndent3Char">
    <w:name w:val="Body Text Indent 3 Char"/>
    <w:basedOn w:val="DefaultParagraphFont"/>
    <w:link w:val="BodyTextIndent3"/>
    <w:qFormat/>
    <w:rsid w:val="008A1676"/>
    <w:rPr>
      <w:rFonts w:ascii="Arial" w:eastAsiaTheme="minorEastAsia" w:hAnsi="Arial" w:cs="Arial"/>
      <w:color w:val="000000"/>
      <w:sz w:val="16"/>
      <w:szCs w:val="16"/>
      <w:lang w:val="es-AR" w:eastAsia="es-AR"/>
    </w:rPr>
  </w:style>
  <w:style w:type="paragraph" w:styleId="BodyText">
    <w:name w:val="Body Text"/>
    <w:basedOn w:val="Normal"/>
    <w:link w:val="BodyTextChar"/>
    <w:uiPriority w:val="99"/>
    <w:unhideWhenUsed/>
    <w:rsid w:val="008644F0"/>
  </w:style>
  <w:style w:type="character" w:customStyle="1" w:styleId="BodyTextChar">
    <w:name w:val="Body Text Char"/>
    <w:basedOn w:val="DefaultParagraphFont"/>
    <w:link w:val="BodyText"/>
    <w:uiPriority w:val="99"/>
    <w:qFormat/>
    <w:rsid w:val="008644F0"/>
    <w:rPr>
      <w:rFonts w:ascii="Arial" w:eastAsia="Times New Roman" w:hAnsi="Arial" w:cs="Times New Roman"/>
      <w:sz w:val="20"/>
      <w:szCs w:val="20"/>
    </w:rPr>
  </w:style>
  <w:style w:type="paragraph" w:styleId="BodyTextIndent">
    <w:name w:val="Body Text Indent"/>
    <w:basedOn w:val="Normal"/>
    <w:link w:val="BodyTextIndentChar"/>
    <w:uiPriority w:val="99"/>
    <w:semiHidden/>
    <w:unhideWhenUsed/>
    <w:rsid w:val="009E4938"/>
    <w:pPr>
      <w:ind w:left="360"/>
    </w:pPr>
  </w:style>
  <w:style w:type="character" w:customStyle="1" w:styleId="BodyTextIndentChar">
    <w:name w:val="Body Text Indent Char"/>
    <w:basedOn w:val="DefaultParagraphFont"/>
    <w:link w:val="BodyTextIndent"/>
    <w:uiPriority w:val="99"/>
    <w:semiHidden/>
    <w:qFormat/>
    <w:rsid w:val="00615112"/>
    <w:rPr>
      <w:rFonts w:ascii="Arial" w:eastAsia="Times New Roman" w:hAnsi="Arial" w:cs="Times New Roman"/>
      <w:szCs w:val="20"/>
      <w:lang w:val="en-GB"/>
    </w:rPr>
  </w:style>
  <w:style w:type="character" w:customStyle="1" w:styleId="ListParagraphChar">
    <w:name w:val="List Paragraph Char"/>
    <w:link w:val="ListParagraph"/>
    <w:uiPriority w:val="34"/>
    <w:qFormat/>
    <w:locked/>
    <w:rsid w:val="00373214"/>
    <w:rPr>
      <w:rFonts w:ascii="Arial" w:eastAsia="Times New Roman" w:hAnsi="Arial" w:cs="Times New Roman"/>
      <w:szCs w:val="20"/>
      <w:lang w:val="en-GB"/>
    </w:rPr>
  </w:style>
  <w:style w:type="paragraph" w:styleId="NormalWeb">
    <w:name w:val="Normal (Web)"/>
    <w:basedOn w:val="Normal"/>
    <w:uiPriority w:val="99"/>
    <w:semiHidden/>
    <w:unhideWhenUsed/>
    <w:qFormat/>
    <w:rsid w:val="009E4938"/>
    <w:pPr>
      <w:spacing w:beforeAutospacing="1" w:afterAutospacing="1"/>
    </w:pPr>
    <w:rPr>
      <w:rFonts w:ascii="Times New Roman" w:eastAsiaTheme="minorEastAsia" w:hAnsi="Times New Roman"/>
      <w:sz w:val="24"/>
      <w:szCs w:val="24"/>
    </w:rPr>
  </w:style>
  <w:style w:type="character" w:styleId="Hyperlink">
    <w:name w:val="Hyperlink"/>
    <w:basedOn w:val="DefaultParagraphFont"/>
    <w:unhideWhenUsed/>
    <w:rsid w:val="001154EA"/>
    <w:rPr>
      <w:color w:val="0000FF"/>
      <w:u w:val="single"/>
    </w:rPr>
  </w:style>
  <w:style w:type="paragraph" w:customStyle="1" w:styleId="Chapter">
    <w:name w:val="Chapter"/>
    <w:basedOn w:val="Normal"/>
    <w:next w:val="Normal"/>
    <w:qFormat/>
    <w:rsid w:val="009E4938"/>
    <w:pPr>
      <w:keepNext/>
      <w:tabs>
        <w:tab w:val="left" w:pos="648"/>
        <w:tab w:val="left" w:pos="1440"/>
      </w:tabs>
      <w:spacing w:before="240" w:after="240"/>
      <w:jc w:val="center"/>
    </w:pPr>
    <w:rPr>
      <w:rFonts w:ascii="Times New Roman" w:hAnsi="Times New Roman"/>
      <w:b/>
      <w:smallCaps/>
      <w:sz w:val="24"/>
    </w:rPr>
  </w:style>
  <w:style w:type="paragraph" w:customStyle="1" w:styleId="Paragraph">
    <w:name w:val="Paragraph"/>
    <w:aliases w:val="paragraph,p,PARAGRAPH,PG,pa,at"/>
    <w:basedOn w:val="BodyTextIndent"/>
    <w:link w:val="ParagraphChar"/>
    <w:qFormat/>
    <w:rsid w:val="009E4938"/>
    <w:pPr>
      <w:outlineLvl w:val="1"/>
    </w:pPr>
    <w:rPr>
      <w:rFonts w:ascii="Times New Roman" w:hAnsi="Times New Roman"/>
      <w:sz w:val="24"/>
    </w:rPr>
  </w:style>
  <w:style w:type="paragraph" w:customStyle="1" w:styleId="subpar">
    <w:name w:val="subpar"/>
    <w:basedOn w:val="BodyTextIndent3"/>
    <w:qFormat/>
    <w:rsid w:val="009E4938"/>
    <w:pPr>
      <w:widowControl/>
      <w:tabs>
        <w:tab w:val="left" w:pos="1152"/>
      </w:tabs>
      <w:ind w:left="1152"/>
      <w:outlineLvl w:val="2"/>
    </w:pPr>
    <w:rPr>
      <w:rFonts w:ascii="Times New Roman" w:eastAsia="Times New Roman" w:hAnsi="Times New Roman" w:cs="Times New Roman"/>
      <w:color w:val="auto"/>
      <w:sz w:val="24"/>
      <w:szCs w:val="20"/>
      <w:lang w:val="en-US" w:eastAsia="en-US"/>
    </w:rPr>
  </w:style>
  <w:style w:type="paragraph" w:customStyle="1" w:styleId="SubSubPar">
    <w:name w:val="SubSubPar"/>
    <w:basedOn w:val="subpar"/>
    <w:qFormat/>
    <w:rsid w:val="009E4938"/>
    <w:pPr>
      <w:tabs>
        <w:tab w:val="left" w:pos="0"/>
        <w:tab w:val="left" w:pos="1296"/>
      </w:tabs>
      <w:ind w:left="1296"/>
    </w:pPr>
  </w:style>
  <w:style w:type="character" w:customStyle="1" w:styleId="ParagraphChar">
    <w:name w:val="Paragraph Char"/>
    <w:aliases w:val="p Char,PARAGRAPH Char,PG Char,pa Char,at Char,paragraph Char"/>
    <w:basedOn w:val="DefaultParagraphFont"/>
    <w:link w:val="Paragraph"/>
    <w:qFormat/>
    <w:locked/>
    <w:rsid w:val="00415320"/>
    <w:rPr>
      <w:rFonts w:ascii="Times New Roman" w:eastAsia="Times New Roman" w:hAnsi="Times New Roman" w:cs="Times New Roman"/>
      <w:sz w:val="24"/>
      <w:szCs w:val="20"/>
      <w:lang w:val="en-GB"/>
    </w:rPr>
  </w:style>
  <w:style w:type="paragraph" w:styleId="FootnoteText">
    <w:name w:val="footnote text"/>
    <w:aliases w:val="fn,single space,footnote text,foottextfra,footnote,F,Texto nota pie Car Car,texto de nota al pie,Nota a pie/Bibliog,Texto nota pie Car Car Car Car Car Car Car Car,Texto nota pie Car Car Car,f,FOOTNOTES,Footnote Text Char Char,Footnote,Car"/>
    <w:basedOn w:val="Normal"/>
    <w:link w:val="FootnoteTextChar1"/>
    <w:qFormat/>
    <w:rsid w:val="00415320"/>
    <w:pPr>
      <w:keepNext/>
      <w:keepLines/>
      <w:ind w:left="288" w:hanging="288"/>
    </w:pPr>
    <w:rPr>
      <w:rFonts w:ascii="Times New Roman" w:hAnsi="Times New Roman"/>
      <w:spacing w:val="-3"/>
    </w:rPr>
  </w:style>
  <w:style w:type="character" w:customStyle="1" w:styleId="FootnoteTextChar">
    <w:name w:val="Footnote Text Char"/>
    <w:basedOn w:val="DefaultParagraphFont"/>
    <w:uiPriority w:val="99"/>
    <w:semiHidden/>
    <w:qFormat/>
    <w:rsid w:val="00415320"/>
    <w:rPr>
      <w:rFonts w:ascii="Arial" w:eastAsia="Times New Roman" w:hAnsi="Arial" w:cs="Times New Roman"/>
      <w:sz w:val="20"/>
      <w:szCs w:val="20"/>
    </w:rPr>
  </w:style>
  <w:style w:type="character" w:styleId="FootnoteReference">
    <w:name w:val="footnote reference"/>
    <w:aliases w:val="referencia nota al pie,ftref,16 Point,Superscript 6 Point,FC,Ref,de nota al pie,(Ref. de nota al pie),Fußnotenzeichen DISS,Style 24,Appel note de bas de page,Ref. de nota al pie.,Ref. de nota al pie EDEP,pie pddes,fr,SUPERS,titulo "/>
    <w:basedOn w:val="DefaultParagraphFont"/>
    <w:qFormat/>
    <w:rsid w:val="00415320"/>
    <w:rPr>
      <w:vertAlign w:val="superscript"/>
    </w:rPr>
  </w:style>
  <w:style w:type="character" w:customStyle="1" w:styleId="FootnoteTextChar1">
    <w:name w:val="Footnote Text Char1"/>
    <w:aliases w:val="fn Char,single space Char,footnote text Char,foottextfra Char,footnote Char,F Char,Texto nota pie Car Car Char,texto de nota al pie Char,Nota a pie/Bibliog Char,Texto nota pie Car Car Car Car Car Car Car Car Char,f Char,Footnote Char"/>
    <w:basedOn w:val="DefaultParagraphFont"/>
    <w:link w:val="FootnoteText"/>
    <w:uiPriority w:val="99"/>
    <w:qFormat/>
    <w:locked/>
    <w:rsid w:val="00415320"/>
    <w:rPr>
      <w:rFonts w:ascii="Times New Roman" w:eastAsia="Times New Roman" w:hAnsi="Times New Roman" w:cs="Times New Roman"/>
      <w:spacing w:val="-3"/>
      <w:sz w:val="20"/>
      <w:szCs w:val="20"/>
    </w:rPr>
  </w:style>
  <w:style w:type="paragraph" w:styleId="Caption">
    <w:name w:val="caption"/>
    <w:basedOn w:val="Normal"/>
    <w:next w:val="Normal"/>
    <w:autoRedefine/>
    <w:uiPriority w:val="35"/>
    <w:qFormat/>
    <w:rsid w:val="009E4938"/>
    <w:pPr>
      <w:spacing w:before="240"/>
      <w:jc w:val="center"/>
    </w:pPr>
    <w:rPr>
      <w:rFonts w:eastAsia="Cambria" w:cs="Arial"/>
      <w:b/>
      <w:bCs/>
      <w:szCs w:val="22"/>
      <w:lang w:val="es-ES_tradnl"/>
    </w:rPr>
  </w:style>
  <w:style w:type="paragraph" w:customStyle="1" w:styleId="Default">
    <w:name w:val="Default"/>
    <w:qFormat/>
    <w:rsid w:val="009E4938"/>
    <w:pPr>
      <w:suppressAutoHyphens/>
      <w:spacing w:after="0" w:line="240" w:lineRule="auto"/>
    </w:pPr>
    <w:rPr>
      <w:rFonts w:ascii="Times New Roman" w:eastAsia="Calibri" w:hAnsi="Times New Roman" w:cs="Times New Roman"/>
      <w:color w:val="000000"/>
      <w:sz w:val="24"/>
      <w:szCs w:val="24"/>
    </w:rPr>
  </w:style>
  <w:style w:type="character" w:styleId="FollowedHyperlink">
    <w:name w:val="FollowedHyperlink"/>
    <w:basedOn w:val="DefaultParagraphFont"/>
    <w:uiPriority w:val="99"/>
    <w:semiHidden/>
    <w:unhideWhenUsed/>
    <w:rsid w:val="004A0E03"/>
    <w:rPr>
      <w:color w:val="800080" w:themeColor="followedHyperlink"/>
      <w:u w:val="single"/>
    </w:rPr>
  </w:style>
  <w:style w:type="paragraph" w:styleId="NoSpacing">
    <w:name w:val="No Spacing"/>
    <w:basedOn w:val="Normal"/>
    <w:uiPriority w:val="1"/>
    <w:qFormat/>
    <w:rsid w:val="009E4938"/>
    <w:pPr>
      <w:spacing w:beforeAutospacing="1" w:afterAutospacing="1"/>
    </w:pPr>
    <w:rPr>
      <w:rFonts w:ascii="Times New Roman" w:hAnsi="Times New Roman"/>
      <w:sz w:val="24"/>
      <w:szCs w:val="24"/>
      <w:lang w:val="en-US"/>
    </w:rPr>
  </w:style>
  <w:style w:type="paragraph" w:styleId="TOCHeading">
    <w:name w:val="TOC Heading"/>
    <w:basedOn w:val="Heading1"/>
    <w:next w:val="Normal"/>
    <w:uiPriority w:val="39"/>
    <w:unhideWhenUsed/>
    <w:qFormat/>
    <w:rsid w:val="009E4938"/>
    <w:pPr>
      <w:keepLines/>
      <w:spacing w:before="480" w:after="0" w:line="276" w:lineRule="auto"/>
    </w:pPr>
    <w:rPr>
      <w:rFonts w:asciiTheme="majorHAnsi" w:eastAsiaTheme="majorEastAsia" w:hAnsiTheme="majorHAnsi" w:cstheme="majorBidi"/>
      <w:b/>
      <w:bCs/>
      <w:color w:val="365F91" w:themeColor="accent1" w:themeShade="BF"/>
      <w:sz w:val="28"/>
      <w:szCs w:val="28"/>
      <w:lang w:val="en-US"/>
    </w:rPr>
  </w:style>
  <w:style w:type="paragraph" w:styleId="TOC1">
    <w:name w:val="toc 1"/>
    <w:basedOn w:val="Normal"/>
    <w:next w:val="Normal"/>
    <w:autoRedefine/>
    <w:uiPriority w:val="39"/>
    <w:unhideWhenUsed/>
    <w:rsid w:val="009E4938"/>
    <w:pPr>
      <w:spacing w:after="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9E4938"/>
    <w:pPr>
      <w:spacing w:after="0"/>
      <w:ind w:left="220"/>
    </w:pPr>
    <w:rPr>
      <w:rFonts w:asciiTheme="minorHAnsi" w:hAnsiTheme="minorHAnsi" w:cstheme="minorHAnsi"/>
      <w:b/>
      <w:bCs/>
      <w:szCs w:val="22"/>
    </w:rPr>
  </w:style>
  <w:style w:type="paragraph" w:styleId="TOC3">
    <w:name w:val="toc 3"/>
    <w:basedOn w:val="Normal"/>
    <w:next w:val="Normal"/>
    <w:autoRedefine/>
    <w:uiPriority w:val="39"/>
    <w:unhideWhenUsed/>
    <w:rsid w:val="009E4938"/>
    <w:pPr>
      <w:spacing w:before="0" w:after="0"/>
      <w:ind w:left="440"/>
    </w:pPr>
    <w:rPr>
      <w:rFonts w:asciiTheme="minorHAnsi" w:hAnsiTheme="minorHAnsi" w:cstheme="minorHAnsi"/>
      <w:sz w:val="20"/>
    </w:rPr>
  </w:style>
  <w:style w:type="paragraph" w:styleId="TOC4">
    <w:name w:val="toc 4"/>
    <w:basedOn w:val="Normal"/>
    <w:next w:val="Normal"/>
    <w:autoRedefine/>
    <w:uiPriority w:val="39"/>
    <w:semiHidden/>
    <w:unhideWhenUsed/>
    <w:rsid w:val="009E4938"/>
    <w:pPr>
      <w:spacing w:before="0" w:after="0"/>
      <w:ind w:left="660"/>
    </w:pPr>
    <w:rPr>
      <w:rFonts w:asciiTheme="minorHAnsi" w:hAnsiTheme="minorHAnsi" w:cstheme="minorHAnsi"/>
      <w:sz w:val="20"/>
    </w:rPr>
  </w:style>
  <w:style w:type="paragraph" w:styleId="TOC5">
    <w:name w:val="toc 5"/>
    <w:basedOn w:val="Normal"/>
    <w:next w:val="Normal"/>
    <w:autoRedefine/>
    <w:uiPriority w:val="39"/>
    <w:semiHidden/>
    <w:unhideWhenUsed/>
    <w:rsid w:val="009E4938"/>
    <w:pPr>
      <w:spacing w:before="0" w:after="0"/>
      <w:ind w:left="880"/>
    </w:pPr>
    <w:rPr>
      <w:rFonts w:asciiTheme="minorHAnsi" w:hAnsiTheme="minorHAnsi" w:cstheme="minorHAnsi"/>
      <w:sz w:val="20"/>
    </w:rPr>
  </w:style>
  <w:style w:type="paragraph" w:styleId="TOC6">
    <w:name w:val="toc 6"/>
    <w:basedOn w:val="Normal"/>
    <w:next w:val="Normal"/>
    <w:autoRedefine/>
    <w:uiPriority w:val="39"/>
    <w:semiHidden/>
    <w:unhideWhenUsed/>
    <w:rsid w:val="009E4938"/>
    <w:pPr>
      <w:spacing w:before="0" w:after="0"/>
      <w:ind w:left="1100"/>
    </w:pPr>
    <w:rPr>
      <w:rFonts w:asciiTheme="minorHAnsi" w:hAnsiTheme="minorHAnsi" w:cstheme="minorHAnsi"/>
      <w:sz w:val="20"/>
    </w:rPr>
  </w:style>
  <w:style w:type="paragraph" w:styleId="TOC7">
    <w:name w:val="toc 7"/>
    <w:basedOn w:val="Normal"/>
    <w:next w:val="Normal"/>
    <w:autoRedefine/>
    <w:uiPriority w:val="39"/>
    <w:semiHidden/>
    <w:unhideWhenUsed/>
    <w:rsid w:val="009E4938"/>
    <w:pPr>
      <w:spacing w:before="0" w:after="0"/>
      <w:ind w:left="1320"/>
    </w:pPr>
    <w:rPr>
      <w:rFonts w:asciiTheme="minorHAnsi" w:hAnsiTheme="minorHAnsi" w:cstheme="minorHAnsi"/>
      <w:sz w:val="20"/>
    </w:rPr>
  </w:style>
  <w:style w:type="paragraph" w:styleId="TOC8">
    <w:name w:val="toc 8"/>
    <w:basedOn w:val="Normal"/>
    <w:next w:val="Normal"/>
    <w:autoRedefine/>
    <w:uiPriority w:val="39"/>
    <w:semiHidden/>
    <w:unhideWhenUsed/>
    <w:rsid w:val="009E4938"/>
    <w:pPr>
      <w:spacing w:before="0" w:after="0"/>
      <w:ind w:left="1540"/>
    </w:pPr>
    <w:rPr>
      <w:rFonts w:asciiTheme="minorHAnsi" w:hAnsiTheme="minorHAnsi" w:cstheme="minorHAnsi"/>
      <w:sz w:val="20"/>
    </w:rPr>
  </w:style>
  <w:style w:type="paragraph" w:styleId="TOC9">
    <w:name w:val="toc 9"/>
    <w:basedOn w:val="Normal"/>
    <w:next w:val="Normal"/>
    <w:autoRedefine/>
    <w:uiPriority w:val="39"/>
    <w:semiHidden/>
    <w:unhideWhenUsed/>
    <w:rsid w:val="009E4938"/>
    <w:pPr>
      <w:spacing w:before="0" w:after="0"/>
      <w:ind w:left="1760"/>
    </w:pPr>
    <w:rPr>
      <w:rFonts w:asciiTheme="minorHAnsi" w:hAnsiTheme="minorHAnsi" w:cstheme="minorHAnsi"/>
      <w:sz w:val="20"/>
    </w:rPr>
  </w:style>
  <w:style w:type="character" w:customStyle="1" w:styleId="Heading2Char">
    <w:name w:val="Heading 2 Char"/>
    <w:basedOn w:val="DefaultParagraphFont"/>
    <w:link w:val="Heading2"/>
    <w:uiPriority w:val="9"/>
    <w:qFormat/>
    <w:rsid w:val="008E2E14"/>
    <w:rPr>
      <w:rFonts w:asciiTheme="majorHAnsi" w:eastAsiaTheme="majorEastAsia" w:hAnsiTheme="majorHAnsi" w:cstheme="majorBidi"/>
      <w:color w:val="365F91" w:themeColor="accent1" w:themeShade="BF"/>
      <w:sz w:val="26"/>
      <w:szCs w:val="26"/>
      <w:lang w:val="en-GB"/>
    </w:rPr>
  </w:style>
  <w:style w:type="paragraph" w:styleId="Revision">
    <w:name w:val="Revision"/>
    <w:hidden/>
    <w:uiPriority w:val="99"/>
    <w:semiHidden/>
    <w:qFormat/>
    <w:rsid w:val="009E4938"/>
    <w:pPr>
      <w:suppressAutoHyphens/>
      <w:spacing w:after="0" w:line="240" w:lineRule="auto"/>
    </w:pPr>
    <w:rPr>
      <w:rFonts w:ascii="Arial" w:eastAsia="Times New Roman" w:hAnsi="Arial" w:cs="Times New Roman"/>
      <w:szCs w:val="20"/>
      <w:lang w:val="en-GB"/>
    </w:rPr>
  </w:style>
  <w:style w:type="character" w:customStyle="1" w:styleId="FootnoteCharacters">
    <w:name w:val="Footnote Characters"/>
    <w:qFormat/>
    <w:rsid w:val="00A41196"/>
    <w:rPr>
      <w:vertAlign w:val="superscript"/>
    </w:rPr>
  </w:style>
  <w:style w:type="character" w:customStyle="1" w:styleId="FootnoteAnchor">
    <w:name w:val="Footnote Anchor"/>
    <w:rsid w:val="00A41196"/>
    <w:rPr>
      <w:vertAlign w:val="superscript"/>
    </w:rPr>
  </w:style>
  <w:style w:type="character" w:customStyle="1" w:styleId="UnresolvedMention1">
    <w:name w:val="Unresolved Mention1"/>
    <w:basedOn w:val="DefaultParagraphFont"/>
    <w:uiPriority w:val="99"/>
    <w:semiHidden/>
    <w:unhideWhenUsed/>
    <w:qFormat/>
    <w:rsid w:val="00C74778"/>
    <w:rPr>
      <w:color w:val="605E5C"/>
      <w:shd w:val="clear" w:color="auto" w:fill="E1DFDD"/>
    </w:rPr>
  </w:style>
  <w:style w:type="character" w:customStyle="1" w:styleId="UnresolvedMention10">
    <w:name w:val="Unresolved Mention1"/>
    <w:basedOn w:val="DefaultParagraphFont"/>
    <w:uiPriority w:val="99"/>
    <w:semiHidden/>
    <w:unhideWhenUsed/>
    <w:qFormat/>
    <w:rsid w:val="00290A4C"/>
    <w:rPr>
      <w:color w:val="605E5C"/>
      <w:shd w:val="clear" w:color="auto" w:fill="E1DFDD"/>
    </w:rPr>
  </w:style>
  <w:style w:type="character" w:customStyle="1" w:styleId="IndexLink">
    <w:name w:val="Index Link"/>
    <w:qFormat/>
    <w:rsid w:val="009E4938"/>
  </w:style>
  <w:style w:type="character" w:customStyle="1" w:styleId="EndnoteAnchor">
    <w:name w:val="Endnote Anchor"/>
    <w:rsid w:val="009E4938"/>
    <w:rPr>
      <w:vertAlign w:val="superscript"/>
    </w:rPr>
  </w:style>
  <w:style w:type="character" w:customStyle="1" w:styleId="EndnoteCharacters">
    <w:name w:val="Endnote Characters"/>
    <w:qFormat/>
    <w:rsid w:val="009E4938"/>
  </w:style>
  <w:style w:type="paragraph" w:customStyle="1" w:styleId="Heading">
    <w:name w:val="Heading"/>
    <w:basedOn w:val="Normal"/>
    <w:next w:val="BodyText"/>
    <w:qFormat/>
    <w:rsid w:val="009E4938"/>
    <w:pPr>
      <w:keepNext/>
      <w:spacing w:before="240"/>
    </w:pPr>
    <w:rPr>
      <w:rFonts w:ascii="Liberation Sans" w:eastAsia="Noto Sans CJK SC" w:hAnsi="Liberation Sans" w:cs="FreeSans"/>
      <w:sz w:val="28"/>
      <w:szCs w:val="28"/>
    </w:rPr>
  </w:style>
  <w:style w:type="paragraph" w:styleId="List">
    <w:name w:val="List"/>
    <w:basedOn w:val="BodyText"/>
    <w:rsid w:val="009E4938"/>
    <w:rPr>
      <w:rFonts w:cs="FreeSans"/>
    </w:rPr>
  </w:style>
  <w:style w:type="paragraph" w:customStyle="1" w:styleId="Index">
    <w:name w:val="Index"/>
    <w:basedOn w:val="Normal"/>
    <w:qFormat/>
    <w:rsid w:val="009E4938"/>
    <w:pPr>
      <w:suppressLineNumbers/>
    </w:pPr>
    <w:rPr>
      <w:rFonts w:cs="FreeSans"/>
    </w:rPr>
  </w:style>
  <w:style w:type="paragraph" w:customStyle="1" w:styleId="HeaderandFooter">
    <w:name w:val="Header and Footer"/>
    <w:basedOn w:val="Normal"/>
    <w:qFormat/>
    <w:rsid w:val="009E4938"/>
  </w:style>
  <w:style w:type="paragraph" w:styleId="EndnoteText">
    <w:name w:val="endnote text"/>
    <w:basedOn w:val="Normal"/>
    <w:link w:val="EndnoteTextChar"/>
    <w:uiPriority w:val="99"/>
    <w:semiHidden/>
    <w:unhideWhenUsed/>
    <w:rsid w:val="001C6537"/>
    <w:pPr>
      <w:spacing w:before="0" w:after="0"/>
    </w:pPr>
    <w:rPr>
      <w:sz w:val="20"/>
    </w:rPr>
  </w:style>
  <w:style w:type="character" w:customStyle="1" w:styleId="EndnoteTextChar">
    <w:name w:val="Endnote Text Char"/>
    <w:basedOn w:val="DefaultParagraphFont"/>
    <w:link w:val="EndnoteText"/>
    <w:uiPriority w:val="99"/>
    <w:semiHidden/>
    <w:rsid w:val="001C6537"/>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1C6537"/>
    <w:rPr>
      <w:vertAlign w:val="superscript"/>
    </w:rPr>
  </w:style>
  <w:style w:type="paragraph" w:customStyle="1" w:styleId="Heading1a">
    <w:name w:val="Heading 1a"/>
    <w:rsid w:val="0006265F"/>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4968">
      <w:bodyDiv w:val="1"/>
      <w:marLeft w:val="0"/>
      <w:marRight w:val="0"/>
      <w:marTop w:val="0"/>
      <w:marBottom w:val="0"/>
      <w:divBdr>
        <w:top w:val="none" w:sz="0" w:space="0" w:color="auto"/>
        <w:left w:val="none" w:sz="0" w:space="0" w:color="auto"/>
        <w:bottom w:val="none" w:sz="0" w:space="0" w:color="auto"/>
        <w:right w:val="none" w:sz="0" w:space="0" w:color="auto"/>
      </w:divBdr>
    </w:div>
    <w:div w:id="112286718">
      <w:bodyDiv w:val="1"/>
      <w:marLeft w:val="0"/>
      <w:marRight w:val="0"/>
      <w:marTop w:val="0"/>
      <w:marBottom w:val="0"/>
      <w:divBdr>
        <w:top w:val="none" w:sz="0" w:space="0" w:color="auto"/>
        <w:left w:val="none" w:sz="0" w:space="0" w:color="auto"/>
        <w:bottom w:val="none" w:sz="0" w:space="0" w:color="auto"/>
        <w:right w:val="none" w:sz="0" w:space="0" w:color="auto"/>
      </w:divBdr>
    </w:div>
    <w:div w:id="605187657">
      <w:bodyDiv w:val="1"/>
      <w:marLeft w:val="0"/>
      <w:marRight w:val="0"/>
      <w:marTop w:val="0"/>
      <w:marBottom w:val="0"/>
      <w:divBdr>
        <w:top w:val="none" w:sz="0" w:space="0" w:color="auto"/>
        <w:left w:val="none" w:sz="0" w:space="0" w:color="auto"/>
        <w:bottom w:val="none" w:sz="0" w:space="0" w:color="auto"/>
        <w:right w:val="none" w:sz="0" w:space="0" w:color="auto"/>
      </w:divBdr>
    </w:div>
    <w:div w:id="636490232">
      <w:bodyDiv w:val="1"/>
      <w:marLeft w:val="0"/>
      <w:marRight w:val="0"/>
      <w:marTop w:val="0"/>
      <w:marBottom w:val="0"/>
      <w:divBdr>
        <w:top w:val="none" w:sz="0" w:space="0" w:color="auto"/>
        <w:left w:val="none" w:sz="0" w:space="0" w:color="auto"/>
        <w:bottom w:val="none" w:sz="0" w:space="0" w:color="auto"/>
        <w:right w:val="none" w:sz="0" w:space="0" w:color="auto"/>
      </w:divBdr>
    </w:div>
    <w:div w:id="650213271">
      <w:bodyDiv w:val="1"/>
      <w:marLeft w:val="0"/>
      <w:marRight w:val="0"/>
      <w:marTop w:val="0"/>
      <w:marBottom w:val="0"/>
      <w:divBdr>
        <w:top w:val="none" w:sz="0" w:space="0" w:color="auto"/>
        <w:left w:val="none" w:sz="0" w:space="0" w:color="auto"/>
        <w:bottom w:val="none" w:sz="0" w:space="0" w:color="auto"/>
        <w:right w:val="none" w:sz="0" w:space="0" w:color="auto"/>
      </w:divBdr>
    </w:div>
    <w:div w:id="775322817">
      <w:bodyDiv w:val="1"/>
      <w:marLeft w:val="0"/>
      <w:marRight w:val="0"/>
      <w:marTop w:val="0"/>
      <w:marBottom w:val="0"/>
      <w:divBdr>
        <w:top w:val="none" w:sz="0" w:space="0" w:color="auto"/>
        <w:left w:val="none" w:sz="0" w:space="0" w:color="auto"/>
        <w:bottom w:val="none" w:sz="0" w:space="0" w:color="auto"/>
        <w:right w:val="none" w:sz="0" w:space="0" w:color="auto"/>
      </w:divBdr>
    </w:div>
    <w:div w:id="1221552947">
      <w:bodyDiv w:val="1"/>
      <w:marLeft w:val="0"/>
      <w:marRight w:val="0"/>
      <w:marTop w:val="0"/>
      <w:marBottom w:val="0"/>
      <w:divBdr>
        <w:top w:val="none" w:sz="0" w:space="0" w:color="auto"/>
        <w:left w:val="none" w:sz="0" w:space="0" w:color="auto"/>
        <w:bottom w:val="none" w:sz="0" w:space="0" w:color="auto"/>
        <w:right w:val="none" w:sz="0" w:space="0" w:color="auto"/>
      </w:divBdr>
    </w:div>
    <w:div w:id="1226259079">
      <w:bodyDiv w:val="1"/>
      <w:marLeft w:val="0"/>
      <w:marRight w:val="0"/>
      <w:marTop w:val="0"/>
      <w:marBottom w:val="0"/>
      <w:divBdr>
        <w:top w:val="none" w:sz="0" w:space="0" w:color="auto"/>
        <w:left w:val="none" w:sz="0" w:space="0" w:color="auto"/>
        <w:bottom w:val="none" w:sz="0" w:space="0" w:color="auto"/>
        <w:right w:val="none" w:sz="0" w:space="0" w:color="auto"/>
      </w:divBdr>
    </w:div>
    <w:div w:id="1505853227">
      <w:bodyDiv w:val="1"/>
      <w:marLeft w:val="0"/>
      <w:marRight w:val="0"/>
      <w:marTop w:val="0"/>
      <w:marBottom w:val="0"/>
      <w:divBdr>
        <w:top w:val="none" w:sz="0" w:space="0" w:color="auto"/>
        <w:left w:val="none" w:sz="0" w:space="0" w:color="auto"/>
        <w:bottom w:val="none" w:sz="0" w:space="0" w:color="auto"/>
        <w:right w:val="none" w:sz="0" w:space="0" w:color="auto"/>
      </w:divBdr>
    </w:div>
    <w:div w:id="188975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gojep.gov.j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23" Type="http://schemas.microsoft.com/office/2016/09/relationships/commentsIds" Target="commentsIds.xml"/><Relationship Id="rId10" Type="http://schemas.openxmlformats.org/officeDocument/2006/relationships/settings" Target="settings.xml"/><Relationship Id="rId19" Type="http://schemas.openxmlformats.org/officeDocument/2006/relationships/hyperlink" Target="https://idbg.sharepoint.com/teams/EZ-JA-LON/JA-L1049/15%20LifeCycle%20Milestones/Enlace%201%20dentro%20Monitorio-Information%20on%20Databases%20-%20Policyand%20Epidemiology%20updated.pdf"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jhsph.edu/research/centers-and-institutes/johns-hopkins-primary-care-policy-center/pca_too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z-Corporate" ma:contentTypeID="0x0101000308A27134084F4AA40781B2DCA498A500C15F6972804C3F4488B094B53EB6FB35" ma:contentTypeVersion="609" ma:contentTypeDescription="The corporate content type from which other content types in the corporate content type track inherit their information." ma:contentTypeScope="" ma:versionID="5c1190a210d0188aabffea869c068317">
  <xsd:schema xmlns:xsd="http://www.w3.org/2001/XMLSchema" xmlns:xs="http://www.w3.org/2001/XMLSchema" xmlns:p="http://schemas.microsoft.com/office/2006/metadata/properties" xmlns:ns2="cdc7663a-08f0-4737-9e8c-148ce897a09c" targetNamespace="http://schemas.microsoft.com/office/2006/metadata/properties" ma:root="true" ma:fieldsID="1de34a96186b8e63819116935c03d63a" ns2:_="">
    <xsd:import namespace="cdc7663a-08f0-4737-9e8c-148ce897a09c"/>
    <xsd:element name="properties">
      <xsd:complexType>
        <xsd:sequence>
          <xsd:element name="documentManagement">
            <xsd:complexType>
              <xsd:all>
                <xsd:element ref="ns2:Access_x0020_to_x0020_Information_x00a0_Policy"/>
                <xsd:element ref="ns2:Document_x0020_Author" minOccurs="0"/>
                <xsd:element ref="ns2:Other_x0020_Author" minOccurs="0"/>
                <xsd:element ref="ns2:Division_x0020_or_x0020_Unit" minOccurs="0"/>
                <xsd:element ref="ns2:Document_x0020_Language_x0020_IDB" minOccurs="0"/>
                <xsd:element ref="ns2:From_x003a_" minOccurs="0"/>
                <xsd:element ref="ns2:To_x003a_" minOccurs="0"/>
                <xsd:element ref="ns2:Identifier" minOccurs="0"/>
                <xsd:element ref="ns2:IDBDocs_x0020_Number" minOccurs="0"/>
                <xsd:element ref="ns2:Migration_x0020_Info" minOccurs="0"/>
                <xsd:element ref="ns2:ic46d7e087fd4a108fb86518ca413cc6" minOccurs="0"/>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j65ec2e3a7e44c39a1acebfd2a19200a" minOccurs="0"/>
                <xsd:element ref="ns2:SISCOR_x0020_Number" minOccurs="0"/>
                <xsd:element ref="ns2:Fiscal_x0020_Year_x0020_IDB"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Access_x0020_to_x0020_Information_x00a0_Policy" ma:index="2"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5" nillable="true" ma:displayName="Document Author" ma:internalName="Document_x0020_Author">
      <xsd:simpleType>
        <xsd:restriction base="dms:Text">
          <xsd:maxLength value="255"/>
        </xsd:restriction>
      </xsd:simpleType>
    </xsd:element>
    <xsd:element name="Other_x0020_Author" ma:index="6" nillable="true" ma:displayName="Other Author" ma:internalName="Other_x0020_Author">
      <xsd:simpleType>
        <xsd:restriction base="dms:Text">
          <xsd:maxLength value="255"/>
        </xsd:restriction>
      </xsd:simpleType>
    </xsd:element>
    <xsd:element name="Division_x0020_or_x0020_Unit" ma:index="8" nillable="true" ma:displayName="Division or Unit" ma:internalName="Division_x0020_or_x0020_Unit">
      <xsd:simpleType>
        <xsd:restriction base="dms:Text">
          <xsd:maxLength value="255"/>
        </xsd:restriction>
      </xsd:simpleType>
    </xsd:element>
    <xsd:element name="Document_x0020_Language_x0020_IDB" ma:index="9"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10" nillable="true" ma:displayName="From:" ma:description="Sender name from email message" ma:internalName="From_x003A_">
      <xsd:simpleType>
        <xsd:restriction base="dms:Text">
          <xsd:maxLength value="255"/>
        </xsd:restriction>
      </xsd:simpleType>
    </xsd:element>
    <xsd:element name="To_x003a_" ma:index="11" nillable="true" ma:displayName="To:" ma:description="Addressee names from email message&#10;" ma:internalName="To_x003A_">
      <xsd:simpleType>
        <xsd:restriction base="dms:Text">
          <xsd:maxLength value="255"/>
        </xsd:restriction>
      </xsd:simpleType>
    </xsd:element>
    <xsd:element name="Identifier" ma:index="12" nillable="true" ma:displayName="Identifier" ma:internalName="Identifier">
      <xsd:simpleType>
        <xsd:restriction base="dms:Text">
          <xsd:maxLength value="255"/>
        </xsd:restriction>
      </xsd:simpleType>
    </xsd:element>
    <xsd:element name="IDBDocs_x0020_Number" ma:index="13" nillable="true" ma:displayName="IDBDocs Number" ma:internalName="IDBDocs_x0020_Number" ma:readOnly="false">
      <xsd:simpleType>
        <xsd:restriction base="dms:Text">
          <xsd:maxLength value="255"/>
        </xsd:restriction>
      </xsd:simpleType>
    </xsd:element>
    <xsd:element name="Migration_x0020_Info" ma:index="14" nillable="true" ma:displayName="Migration Info" ma:internalName="Migration_x0020_Info" ma:readOnly="false">
      <xsd:simpleType>
        <xsd:restriction base="dms:Note"/>
      </xsd:simpleType>
    </xsd:element>
    <xsd:element name="ic46d7e087fd4a108fb86518ca413cc6" ma:index="1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cf0f1ca6d90e4583ad80995bcde0e58a" ma:index="23" ma:taxonomy="true" ma:internalName="cf0f1ca6d90e4583ad80995bcde0e58a" ma:taxonomyFieldName="Function_x0020_Corporate_x0020_IDB" ma:displayName="Function Corporate IDB" ma:readOnly="false" ma:default="-1;#Guideline, Standard and Policy|55052825-ede1-4fc0-9b73-7b2230e7239d"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24"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j65ec2e3a7e44c39a1acebfd2a19200a" ma:index="27" ma:taxonomy="true" ma:internalName="j65ec2e3a7e44c39a1acebfd2a19200a" ma:taxonomyFieldName="Series_x0020_Corporate_x0020_IDB" ma:displayName="Series Corporate IDB" ma:readOnly="false" ma:default="-1;#Template|b2485199-60dd-4e3d-8f72-826e396676bc"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SISCOR_x0020_Number" ma:index="29" nillable="true" ma:displayName="SISCOR Number" ma:internalName="SISCOR_x0020_Number" ma:readOnly="false">
      <xsd:simpleType>
        <xsd:restriction base="dms:Text">
          <xsd:maxLength value="255"/>
        </xsd:restriction>
      </xsd:simpleType>
    </xsd:element>
    <xsd:element name="Fiscal_x0020_Year_x0020_IDB" ma:index="30" nillable="true" ma:displayName="Fiscal Year IDB" ma:internalName="Fiscal_x0020_Year_x0020_IDB" ma:readOnly="false">
      <xsd:simpleType>
        <xsd:restriction base="dms:Text">
          <xsd:maxLength value="255"/>
        </xsd:restriction>
      </xsd:simpleType>
    </xsd:element>
    <xsd:element name="Record_x0020_Number" ma:index="31" nillable="true" ma:displayName="Record Number" ma:internalName="Record_x0020_Number">
      <xsd:simpleType>
        <xsd:restriction base="dms:Text">
          <xsd:maxLength value="255"/>
        </xsd:restriction>
      </xsd:simpleType>
    </xsd:element>
    <xsd:element name="Related_x0020_SisCor_x0020_Number" ma:index="32"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Confidential</Access_x0020_to_x0020_Information_x00a0_Policy>
    <SISCOR_x0020_Number xmlns="cdc7663a-08f0-4737-9e8c-148ce897a09c" xsi:nil="true"/>
    <IDBDocs_x0020_Number xmlns="cdc7663a-08f0-4737-9e8c-148ce897a09c" xsi:nil="true"/>
    <ic46d7e087fd4a108fb86518ca413cc6 xmlns="cdc7663a-08f0-4737-9e8c-148ce897a09c">
      <Terms xmlns="http://schemas.microsoft.com/office/infopath/2007/PartnerControls"/>
    </ic46d7e087fd4a108fb86518ca413cc6>
    <Division_x0020_or_x0020_Unit xmlns="cdc7663a-08f0-4737-9e8c-148ce897a09c">BDA/ACP</Division_x0020_or_x0020_Unit>
    <From_x003a_ xmlns="cdc7663a-08f0-4737-9e8c-148ce897a09c" xsi:nil="true"/>
    <Fiscal_x0020_Year_x0020_IDB xmlns="cdc7663a-08f0-4737-9e8c-148ce897a09c">2016</Fiscal_x0020_Year_x0020_IDB>
    <Other_x0020_Author xmlns="cdc7663a-08f0-4737-9e8c-148ce897a09c" xsi:nil="true"/>
    <Migration_x0020_Info xmlns="cdc7663a-08f0-4737-9e8c-148ce897a09c" xsi:nil="true"/>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b2485199-60dd-4e3d-8f72-826e396676bc</TermId>
        </TermInfo>
      </Terms>
    </j65ec2e3a7e44c39a1acebfd2a19200a>
    <Document_x0020_Author xmlns="cdc7663a-08f0-4737-9e8c-148ce897a09c">Smaldone, Maria Laura</Document_x0020_Author>
    <Document_x0020_Language_x0020_IDB xmlns="cdc7663a-08f0-4737-9e8c-148ce897a09c">English</Document_x0020_Language_x0020_IDB>
    <TaxCatchAll xmlns="cdc7663a-08f0-4737-9e8c-148ce897a09c">
      <Value>2</Value>
      <Value>83</Value>
    </TaxCatchAll>
    <To_x003a_ xmlns="cdc7663a-08f0-4737-9e8c-148ce897a09c" xsi:nil="true"/>
    <Identifi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Guideline, Standard and Policy</TermName>
          <TermId xmlns="http://schemas.microsoft.com/office/infopath/2007/PartnerControls">55052825-ede1-4fc0-9b73-7b2230e7239d</TermId>
        </TermInfo>
      </Terms>
    </cf0f1ca6d90e4583ad80995bcde0e58a>
    <_dlc_DocId xmlns="cdc7663a-08f0-4737-9e8c-148ce897a09c">EZSHARE-2007790794-4</_dlc_DocId>
    <_dlc_DocIdUrl xmlns="cdc7663a-08f0-4737-9e8c-148ce897a09c">
      <Url>https://idbg.sharepoint.com/teams/ez-COF/OCS/_layouts/15/DocIdRedir.aspx?ID=EZSHARE-2007790794-4</Url>
      <Description>EZSHARE-2007790794-4</Description>
    </_dlc_DocIdUrl>
    <Related_x0020_SisCor_x0020_Number xmlns="cdc7663a-08f0-4737-9e8c-148ce897a09c" xsi:nil="true"/>
    <Record_x0020_Number xmlns="cdc7663a-08f0-4737-9e8c-148ce897a09c" xsi:nil="true"/>
  </documentManagement>
</p:properties>
</file>

<file path=customXml/item4.xml><?xml version="1.0" encoding="utf-8"?>
<?mso-contentType ?>
<FormUrls xmlns="http://schemas.microsoft.com/sharepoint/v3/contenttype/forms/url">
  <Display>_catalogs/masterpage/ECMForms/CorporateCT/View.aspx</Display>
  <Edit>_catalogs/masterpage/ECMForms/CorporateCT/Edit.aspx</Edit>
</FormUrls>
</file>

<file path=customXml/item5.xml><?xml version="1.0" encoding="utf-8"?>
<?mso-contentType ?>
<SharedContentType xmlns="Microsoft.SharePoint.Taxonomy.ContentTypeSync" SourceId="ae61f9b1-e23d-4f49-b3d7-56b991556c4b" ContentTypeId="0x0101000308A27134084F4AA40781B2DCA498A5"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3E0F1-BB78-4452-8CB1-C944BB2C3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5CA636-023D-4104-8E05-5260DBC45A6A}">
  <ds:schemaRefs>
    <ds:schemaRef ds:uri="http://schemas.microsoft.com/sharepoint/v3/contenttype/forms"/>
  </ds:schemaRefs>
</ds:datastoreItem>
</file>

<file path=customXml/itemProps3.xml><?xml version="1.0" encoding="utf-8"?>
<ds:datastoreItem xmlns:ds="http://schemas.openxmlformats.org/officeDocument/2006/customXml" ds:itemID="{8084EE2F-B02A-4C67-97A9-A44EAF592659}">
  <ds:schemaRefs>
    <ds:schemaRef ds:uri="http://schemas.microsoft.com/office/2006/metadata/properties"/>
    <ds:schemaRef ds:uri="http://schemas.microsoft.com/office/infopath/2007/PartnerControls"/>
    <ds:schemaRef ds:uri="cdc7663a-08f0-4737-9e8c-148ce897a09c"/>
  </ds:schemaRefs>
</ds:datastoreItem>
</file>

<file path=customXml/itemProps4.xml><?xml version="1.0" encoding="utf-8"?>
<ds:datastoreItem xmlns:ds="http://schemas.openxmlformats.org/officeDocument/2006/customXml" ds:itemID="{777269DB-FF32-4AD2-BE6D-E7A6FE7D0AE4}">
  <ds:schemaRefs>
    <ds:schemaRef ds:uri="http://schemas.microsoft.com/sharepoint/v3/contenttype/forms/url"/>
  </ds:schemaRefs>
</ds:datastoreItem>
</file>

<file path=customXml/itemProps5.xml><?xml version="1.0" encoding="utf-8"?>
<ds:datastoreItem xmlns:ds="http://schemas.openxmlformats.org/officeDocument/2006/customXml" ds:itemID="{697108BC-6793-4DBB-86BF-E587224108C8}">
  <ds:schemaRefs>
    <ds:schemaRef ds:uri="Microsoft.SharePoint.Taxonomy.ContentTypeSync"/>
  </ds:schemaRefs>
</ds:datastoreItem>
</file>

<file path=customXml/itemProps6.xml><?xml version="1.0" encoding="utf-8"?>
<ds:datastoreItem xmlns:ds="http://schemas.openxmlformats.org/officeDocument/2006/customXml" ds:itemID="{2D025D2D-4087-4AB9-9881-59E407D71553}">
  <ds:schemaRefs>
    <ds:schemaRef ds:uri="http://schemas.microsoft.com/sharepoint/events"/>
  </ds:schemaRefs>
</ds:datastoreItem>
</file>

<file path=customXml/itemProps7.xml><?xml version="1.0" encoding="utf-8"?>
<ds:datastoreItem xmlns:ds="http://schemas.openxmlformats.org/officeDocument/2006/customXml" ds:itemID="{F039F4F1-71CD-47F9-8FAA-905BADF62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7676</Words>
  <Characters>43757</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51331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Rhoden, Nakesha</cp:lastModifiedBy>
  <cp:revision>3</cp:revision>
  <cp:lastPrinted>2020-04-16T15:07:00Z</cp:lastPrinted>
  <dcterms:created xsi:type="dcterms:W3CDTF">2021-10-13T22:24:00Z</dcterms:created>
  <dcterms:modified xsi:type="dcterms:W3CDTF">2021-10-15T17:51:00Z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0x0101000308A27134084F4AA40781B2DCA498A500C15F6972804C3F4488B094B53EB6FB35</vt:lpwstr>
  </property>
  <property fmtid="{D5CDD505-2E9C-101B-9397-08002B2CF9AE}" pid="3" name="TaxKeyword">
    <vt:lpwstr/>
  </property>
  <property fmtid="{D5CDD505-2E9C-101B-9397-08002B2CF9AE}" pid="4" name="Series Corporate IDB">
    <vt:lpwstr>83;#Template|b2485199-60dd-4e3d-8f72-826e396676bc</vt:lpwstr>
  </property>
  <property fmtid="{D5CDD505-2E9C-101B-9397-08002B2CF9AE}" pid="5" name="Function Corporate IDB">
    <vt:lpwstr>2;#Guideline, Standard and Policy|55052825-ede1-4fc0-9b73-7b2230e7239d</vt:lpwstr>
  </property>
  <property fmtid="{D5CDD505-2E9C-101B-9397-08002B2CF9AE}" pid="6" name="TaxKeywordTaxHTField">
    <vt:lpwstr/>
  </property>
  <property fmtid="{D5CDD505-2E9C-101B-9397-08002B2CF9AE}" pid="7" name="Country">
    <vt:lpwstr/>
  </property>
  <property fmtid="{D5CDD505-2E9C-101B-9397-08002B2CF9AE}" pid="8" name="_dlc_DocIdItemGuid">
    <vt:lpwstr>af6e123a-c59a-4dab-a13e-b763e2151da7</vt:lpwstr>
  </property>
  <property fmtid="{D5CDD505-2E9C-101B-9397-08002B2CF9AE}" pid="9" name="SharedWithUsers">
    <vt:lpwstr>2384;#Nunes da Cunha, Natascha;#2480;#Salazar, Lina Piedad;#3481;#Bravo Velasquez, Julianyth De Jesus;#2884;#Vogt-Schilb, Adrien;#2162;#Cafagna, Gianluca;#527;#Perez Calvo, Rafael Mauricio;#1082;#Chong Liu, Cecilia;#4476;#Tovio Delgado, Alixa Argelis;#465</vt:lpwstr>
  </property>
  <property fmtid="{D5CDD505-2E9C-101B-9397-08002B2CF9AE}" pid="10" name="AppVersion">
    <vt:lpwstr>16.0000</vt:lpwstr>
  </property>
  <property fmtid="{D5CDD505-2E9C-101B-9397-08002B2CF9AE}" pid="11" name="Company">
    <vt:lpwstr>Inter-American Development Bank</vt:lpwstr>
  </property>
  <property fmtid="{D5CDD505-2E9C-101B-9397-08002B2CF9AE}" pid="12" name="DocSecurity">
    <vt:i4>0</vt:i4>
  </property>
  <property fmtid="{D5CDD505-2E9C-101B-9397-08002B2CF9AE}" pid="13" name="HyperlinksChanged">
    <vt:bool>false</vt:bool>
  </property>
  <property fmtid="{D5CDD505-2E9C-101B-9397-08002B2CF9AE}" pid="14" name="LinksUpToDate">
    <vt:bool>false</vt:bool>
  </property>
  <property fmtid="{D5CDD505-2E9C-101B-9397-08002B2CF9AE}" pid="15" name="ScaleCrop">
    <vt:bool>false</vt:bool>
  </property>
  <property fmtid="{D5CDD505-2E9C-101B-9397-08002B2CF9AE}" pid="16" name="ShareDoc">
    <vt:bool>false</vt:bool>
  </property>
</Properties>
</file>